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44EB3B">
      <w:pPr>
        <w:rPr>
          <w:rFonts w:ascii="Times New Roman" w:hAnsi="Times New Roman"/>
        </w:rPr>
      </w:pPr>
      <w:bookmarkStart w:id="0" w:name="_Toc15377193"/>
      <w:bookmarkStart w:id="1" w:name="_Toc15377425"/>
      <w:bookmarkStart w:id="2" w:name="_Toc15396475"/>
      <w:bookmarkStart w:id="3" w:name="_Toc15396597"/>
      <w:bookmarkStart w:id="4" w:name="_Toc15378441"/>
      <w:bookmarkStart w:id="5" w:name="_Toc15306267"/>
    </w:p>
    <w:bookmarkEnd w:id="0"/>
    <w:bookmarkEnd w:id="1"/>
    <w:bookmarkEnd w:id="2"/>
    <w:bookmarkEnd w:id="3"/>
    <w:bookmarkEnd w:id="4"/>
    <w:p w14:paraId="75E5F92F">
      <w:pPr>
        <w:pStyle w:val="8"/>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476"/>
      <w:bookmarkStart w:id="7" w:name="_Toc15396598"/>
      <w:bookmarkStart w:id="8" w:name="_Toc15377426"/>
      <w:bookmarkStart w:id="9" w:name="_Toc15378442"/>
      <w:bookmarkStart w:id="10" w:name="_Toc15377194"/>
      <w:r>
        <w:rPr>
          <w:rFonts w:hint="eastAsia" w:ascii="Times New Roman" w:hAnsi="Times New Roman" w:eastAsia="方正小标宋简体" w:cs="Times New Roman"/>
          <w:color w:val="auto"/>
          <w:kern w:val="2"/>
          <w:sz w:val="44"/>
          <w:szCs w:val="44"/>
          <w:highlight w:val="none"/>
          <w:lang w:val="en-US" w:eastAsia="zh-CN" w:bidi="ar-SA"/>
        </w:rPr>
        <w:t>2025年度</w:t>
      </w:r>
      <w:bookmarkEnd w:id="5"/>
      <w:bookmarkStart w:id="11" w:name="_Toc15306268"/>
      <w:r>
        <w:rPr>
          <w:rFonts w:hint="eastAsia" w:ascii="Times New Roman" w:hAnsi="Times New Roman" w:eastAsia="方正小标宋简体"/>
          <w:kern w:val="2"/>
          <w:sz w:val="44"/>
          <w:szCs w:val="44"/>
          <w:highlight w:val="none"/>
        </w:rPr>
        <w:t>中国国民党革命委员会四川省委员会直属巴中市支部部门</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2F4266E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D28F82C">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eastAsia="仿宋_GB2312" w:cs="仿宋_GB2312"/>
          <w:color w:val="auto"/>
          <w:sz w:val="32"/>
          <w:szCs w:val="32"/>
          <w:highlight w:val="none"/>
          <w:lang w:val="en-US" w:eastAsia="zh-CN"/>
        </w:rPr>
        <w:t>17</w:t>
      </w:r>
      <w:r>
        <w:rPr>
          <w:rFonts w:hint="eastAsia" w:ascii="Times New Roman" w:hAnsi="Times New Roman" w:eastAsia="仿宋_GB2312" w:cs="仿宋_GB2312"/>
          <w:color w:val="auto"/>
          <w:sz w:val="32"/>
          <w:szCs w:val="32"/>
          <w:highlight w:val="none"/>
        </w:rPr>
        <w:t>日</w:t>
      </w:r>
    </w:p>
    <w:p w14:paraId="3A906816">
      <w:pPr>
        <w:rPr>
          <w:rFonts w:ascii="Times New Roman" w:hAnsi="Times New Roman"/>
          <w:color w:val="auto"/>
          <w:highlight w:val="none"/>
        </w:rPr>
      </w:pPr>
    </w:p>
    <w:p w14:paraId="37FDFED7">
      <w:pPr>
        <w:pStyle w:val="13"/>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64F6C6F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629E0F8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29D09FCE">
      <w:pPr>
        <w:pStyle w:val="13"/>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234EB9B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42DCAD5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33FDC55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2347395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487494A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12E034E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02D9947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28096CA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5DCDF5F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511F77E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46B3DAAC">
      <w:pPr>
        <w:pStyle w:val="13"/>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1A8A0DB3">
      <w:pPr>
        <w:pStyle w:val="13"/>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150BA548">
      <w:pPr>
        <w:pStyle w:val="13"/>
        <w:keepNext w:val="0"/>
        <w:keepLines w:val="0"/>
        <w:pageBreakBefore w:val="0"/>
        <w:widowControl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AE11AE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6D570D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4EBBDD4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501D482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646143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B4A782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2259763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2D6007C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2FB7E73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5D62AF1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210BDFE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70396D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01F440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1C12F1C7">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0AC41503">
      <w:pPr>
        <w:pStyle w:val="5"/>
        <w:jc w:val="center"/>
        <w:rPr>
          <w:rStyle w:val="1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19"/>
          <w:rFonts w:hint="eastAsia" w:ascii="Times New Roman" w:hAnsi="Times New Roman" w:eastAsia="方正小标宋简体" w:cs="方正小标宋简体"/>
          <w:b w:val="0"/>
          <w:bCs w:val="0"/>
          <w:color w:val="auto"/>
          <w:highlight w:val="none"/>
        </w:rPr>
        <w:t>部门概况</w:t>
      </w:r>
      <w:bookmarkEnd w:id="12"/>
      <w:bookmarkEnd w:id="13"/>
    </w:p>
    <w:p w14:paraId="08352858">
      <w:pPr>
        <w:pStyle w:val="6"/>
        <w:ind w:left="640"/>
        <w:rPr>
          <w:rFonts w:ascii="Times New Roman" w:hAnsi="Times New Roman" w:eastAsia="黑体"/>
          <w:b w:val="0"/>
          <w:color w:val="auto"/>
          <w:highlight w:val="none"/>
          <w:lang w:eastAsia="zh-CN"/>
        </w:rPr>
      </w:pPr>
      <w:r>
        <w:rPr>
          <w:rFonts w:ascii="Times New Roman" w:hAnsi="Times New Roman" w:eastAsia="黑体"/>
          <w:b w:val="0"/>
          <w:color w:val="auto"/>
          <w:highlight w:val="none"/>
          <w:lang w:eastAsia="zh-CN"/>
        </w:rPr>
        <w:t>一、</w:t>
      </w:r>
      <w:r>
        <w:rPr>
          <w:rFonts w:hint="eastAsia" w:ascii="Times New Roman" w:hAnsi="Times New Roman" w:eastAsia="黑体"/>
          <w:b w:val="0"/>
          <w:color w:val="auto"/>
          <w:highlight w:val="none"/>
          <w:lang w:eastAsia="zh-CN"/>
        </w:rPr>
        <w:t>部门职责</w:t>
      </w:r>
    </w:p>
    <w:p w14:paraId="5FCA0EAD">
      <w:pPr>
        <w:snapToGrid w:val="0"/>
        <w:spacing w:line="52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主要职能。</w:t>
      </w:r>
      <w:r>
        <w:rPr>
          <w:rFonts w:hint="eastAsia" w:eastAsia="仿宋_GB2312" w:cs="仿宋_GB2312"/>
          <w:bCs/>
          <w:sz w:val="32"/>
          <w:szCs w:val="32"/>
          <w:lang w:eastAsia="zh-CN" w:bidi="ar-SA"/>
        </w:rPr>
        <w:t>积极履行参政议政、民主监督、服务社会等各项职能。宣传贯彻中国特色社会主义有关方针、政策，传达、执行上级组织的决议和所布置的任务，教育和鼓励党员做好本职工作，协助其单位完成各项任务。</w:t>
      </w:r>
    </w:p>
    <w:p w14:paraId="2DBF8169">
      <w:pPr>
        <w:pStyle w:val="6"/>
        <w:ind w:firstLine="800" w:firstLineChars="250"/>
        <w:rPr>
          <w:rStyle w:val="20"/>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20"/>
          <w:rFonts w:hint="eastAsia" w:ascii="Times New Roman" w:hAnsi="Times New Roman" w:eastAsia="黑体"/>
          <w:b w:val="0"/>
          <w:bCs w:val="0"/>
          <w:color w:val="auto"/>
          <w:highlight w:val="none"/>
        </w:rPr>
        <w:t>构设置</w:t>
      </w:r>
      <w:bookmarkEnd w:id="14"/>
      <w:bookmarkEnd w:id="15"/>
    </w:p>
    <w:p w14:paraId="489A0398">
      <w:pPr>
        <w:ind w:firstLine="800" w:firstLineChars="250"/>
        <w:rPr>
          <w:rFonts w:hint="eastAsia" w:ascii="Times New Roman" w:hAnsi="Times New Roman" w:eastAsia="仿宋_GB2312" w:cs="仿宋_GB2312"/>
          <w:color w:val="auto"/>
          <w:sz w:val="32"/>
          <w:szCs w:val="32"/>
          <w:highlight w:val="none"/>
        </w:rPr>
      </w:pPr>
      <w:r>
        <w:rPr>
          <w:rFonts w:hint="eastAsia" w:ascii="仿宋_GB2312" w:eastAsia="仿宋_GB2312" w:cs="仿宋_GB2312"/>
          <w:color w:val="auto"/>
          <w:sz w:val="32"/>
          <w:szCs w:val="32"/>
          <w:highlight w:val="none"/>
        </w:rPr>
        <w:t>中国国民党革命委员会四川省委员会直属巴中市支部</w:t>
      </w:r>
      <w:r>
        <w:rPr>
          <w:rFonts w:hint="eastAsia" w:ascii="仿宋_GB2312" w:eastAsia="仿宋_GB2312" w:cs="仿宋_GB2312"/>
          <w:color w:val="auto"/>
          <w:sz w:val="32"/>
          <w:szCs w:val="32"/>
          <w:highlight w:val="none"/>
          <w:lang w:eastAsia="zh-CN"/>
        </w:rPr>
        <w:t>委员会</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ascii="Times New Roman" w:hAnsi="Times New Roman"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rPr>
        <w:t>个，其中行政单位</w:t>
      </w:r>
      <w:r>
        <w:rPr>
          <w:rFonts w:ascii="Times New Roman" w:hAnsi="Times New Roman"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rPr>
        <w:t>个，参照公务员法管理的事业单位</w:t>
      </w:r>
      <w:r>
        <w:rPr>
          <w:rFonts w:ascii="Times New Roman" w:hAnsi="Times New Roman" w:eastAsia="仿宋_GB2312" w:cs="仿宋_GB2312"/>
          <w:bCs/>
          <w:color w:val="auto"/>
          <w:sz w:val="32"/>
          <w:szCs w:val="32"/>
          <w:highlight w:val="none"/>
        </w:rPr>
        <w:t>0</w:t>
      </w:r>
      <w:r>
        <w:rPr>
          <w:rFonts w:hint="eastAsia" w:ascii="Times New Roman" w:hAnsi="Times New Roman" w:eastAsia="仿宋_GB2312" w:cs="仿宋_GB2312"/>
          <w:color w:val="auto"/>
          <w:sz w:val="32"/>
          <w:szCs w:val="32"/>
          <w:highlight w:val="none"/>
        </w:rPr>
        <w:t>个，其他事业单位</w:t>
      </w:r>
      <w:r>
        <w:rPr>
          <w:rFonts w:ascii="Times New Roman" w:hAnsi="Times New Roman" w:eastAsia="仿宋_GB2312" w:cs="仿宋_GB2312"/>
          <w:color w:val="auto"/>
          <w:sz w:val="32"/>
          <w:szCs w:val="32"/>
          <w:highlight w:val="none"/>
        </w:rPr>
        <w:t>0</w:t>
      </w:r>
      <w:r>
        <w:rPr>
          <w:rFonts w:hint="eastAsia" w:ascii="Times New Roman" w:hAnsi="Times New Roman" w:eastAsia="仿宋_GB2312" w:cs="仿宋_GB2312"/>
          <w:color w:val="auto"/>
          <w:sz w:val="32"/>
          <w:szCs w:val="32"/>
          <w:highlight w:val="none"/>
        </w:rPr>
        <w:t>个。</w:t>
      </w:r>
    </w:p>
    <w:p w14:paraId="31F0034F">
      <w:pPr>
        <w:pStyle w:val="5"/>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6583A9D4">
      <w:pPr>
        <w:rPr>
          <w:rFonts w:ascii="Times New Roman" w:hAnsi="Times New Roman"/>
          <w:color w:val="auto"/>
          <w:highlight w:val="none"/>
        </w:rPr>
      </w:pPr>
    </w:p>
    <w:p w14:paraId="5E8D3108">
      <w:pPr>
        <w:pStyle w:val="26"/>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0"/>
          <w:rFonts w:hint="eastAsia" w:ascii="Times New Roman" w:hAnsi="Times New Roman" w:eastAsia="黑体"/>
          <w:b w:val="0"/>
          <w:color w:val="auto"/>
          <w:highlight w:val="none"/>
        </w:rPr>
      </w:pPr>
      <w:bookmarkStart w:id="18" w:name="_Toc15396603"/>
      <w:bookmarkStart w:id="1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0"/>
          <w:rFonts w:hint="eastAsia" w:ascii="Times New Roman" w:hAnsi="Times New Roman" w:eastAsia="黑体"/>
          <w:b w:val="0"/>
          <w:color w:val="auto"/>
          <w:highlight w:val="none"/>
        </w:rPr>
        <w:t>入支出决算总体情况说明</w:t>
      </w:r>
      <w:bookmarkEnd w:id="18"/>
      <w:bookmarkEnd w:id="19"/>
    </w:p>
    <w:p w14:paraId="5533D667">
      <w:pPr>
        <w:snapToGrid w:val="0"/>
        <w:spacing w:line="520" w:lineRule="exact"/>
        <w:ind w:firstLine="640" w:firstLineChars="200"/>
        <w:rPr>
          <w:rFonts w:hint="eastAsia" w:ascii="仿宋_GB2312" w:eastAsia="仿宋_GB2312"/>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eastAsia="仿宋_GB2312" w:cs="仿宋_GB2312"/>
          <w:sz w:val="32"/>
          <w:szCs w:val="32"/>
        </w:rPr>
        <w:t>29.4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ascii="Times New Roman" w:hAnsi="Times New Roman" w:eastAsia="仿宋_GB2312" w:cs="仿宋_GB2312"/>
          <w:color w:val="auto"/>
          <w:sz w:val="32"/>
          <w:szCs w:val="32"/>
          <w:highlight w:val="none"/>
        </w:rPr>
        <w:t>10.68</w:t>
      </w:r>
      <w:r>
        <w:rPr>
          <w:rFonts w:hint="eastAsia" w:ascii="Times New Roman" w:hAnsi="Times New Roman" w:eastAsia="仿宋_GB2312" w:cs="仿宋_GB2312"/>
          <w:color w:val="auto"/>
          <w:sz w:val="32"/>
          <w:szCs w:val="32"/>
          <w:highlight w:val="none"/>
        </w:rPr>
        <w:t>万元，增长</w:t>
      </w:r>
      <w:r>
        <w:rPr>
          <w:rFonts w:ascii="Times New Roman" w:hAnsi="Times New Roman" w:eastAsia="仿宋_GB2312" w:cs="仿宋_GB2312"/>
          <w:color w:val="auto"/>
          <w:sz w:val="32"/>
          <w:szCs w:val="32"/>
          <w:highlight w:val="none"/>
        </w:rPr>
        <w:t>57.05</w:t>
      </w:r>
      <w:r>
        <w:rPr>
          <w:rFonts w:hint="eastAsia" w:ascii="Times New Roman" w:hAnsi="Times New Roman" w:eastAsia="仿宋_GB2312" w:cs="仿宋_GB2312"/>
          <w:color w:val="auto"/>
          <w:sz w:val="32"/>
          <w:szCs w:val="32"/>
          <w:highlight w:val="none"/>
        </w:rPr>
        <w:t>%。主要变动原因是</w:t>
      </w:r>
      <w:r>
        <w:rPr>
          <w:rFonts w:ascii="仿宋_GB2312" w:hAnsi="仿宋_GB2312" w:eastAsia="文泉驿微米黑"/>
          <w:sz w:val="32"/>
          <w:szCs w:val="32"/>
          <w:highlight w:val="none"/>
        </w:rPr>
        <w:t>开展活动增加年初预算</w:t>
      </w:r>
      <w:r>
        <w:rPr>
          <w:rFonts w:hint="eastAsia" w:ascii="仿宋_GB2312" w:eastAsia="仿宋_GB2312"/>
          <w:sz w:val="32"/>
          <w:szCs w:val="32"/>
          <w:highlight w:val="none"/>
        </w:rPr>
        <w:t>。</w:t>
      </w:r>
    </w:p>
    <w:p w14:paraId="4508D0E4">
      <w:pPr>
        <w:pStyle w:val="26"/>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6C30941D">
      <w:pPr>
        <w:pStyle w:val="26"/>
        <w:keepNext w:val="0"/>
        <w:keepLines w:val="0"/>
        <w:pageBreakBefore w:val="0"/>
        <w:widowControl w:val="0"/>
        <w:kinsoku/>
        <w:wordWrap/>
        <w:overflowPunct/>
        <w:topLinePunct w:val="0"/>
        <w:autoSpaceDE/>
        <w:autoSpaceDN/>
        <w:adjustRightInd/>
        <w:snapToGrid/>
        <w:spacing w:line="600" w:lineRule="exact"/>
        <w:ind w:left="0" w:firstLine="640" w:firstLineChars="200"/>
        <w:outlineLvl w:val="1"/>
        <w:rPr>
          <w:rFonts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eastAsia="仿宋_GB2312" w:cs="仿宋_GB2312"/>
          <w:sz w:val="32"/>
          <w:szCs w:val="32"/>
        </w:rPr>
        <w:t>29.4</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eastAsia="仿宋_GB2312" w:cs="仿宋_GB2312"/>
          <w:sz w:val="32"/>
          <w:szCs w:val="32"/>
        </w:rPr>
        <w:t>29.4</w:t>
      </w:r>
      <w:r>
        <w:rPr>
          <w:rFonts w:hint="eastAsia" w:ascii="Times New Roman" w:hAnsi="Times New Roman" w:eastAsia="仿宋_GB2312" w:cs="仿宋_GB2312"/>
          <w:color w:val="auto"/>
          <w:sz w:val="32"/>
          <w:szCs w:val="32"/>
          <w:highlight w:val="none"/>
          <w:lang w:eastAsia="zh-CN"/>
        </w:rPr>
        <w:t>万元，占</w:t>
      </w:r>
      <w:r>
        <w:rPr>
          <w:rFonts w:hint="eastAsia" w:asci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bookmarkStart w:id="22" w:name="_Toc15396605"/>
      <w:bookmarkStart w:id="23" w:name="_Toc15377207"/>
      <w:r>
        <w:rPr>
          <w:rFonts w:ascii="Times New Roman" w:hAnsi="Times New Roman" w:eastAsia="文泉驿微米黑" w:cs="仿宋_GB2312"/>
          <w:color w:val="auto"/>
          <w:sz w:val="32"/>
          <w:szCs w:val="32"/>
          <w:highlight w:val="none"/>
          <w:lang w:eastAsia="zh-CN"/>
        </w:rPr>
        <w:t>。</w:t>
      </w:r>
    </w:p>
    <w:p w14:paraId="12A22E61">
      <w:pPr>
        <w:pStyle w:val="26"/>
        <w:keepNext w:val="0"/>
        <w:keepLines w:val="0"/>
        <w:pageBreakBefore w:val="0"/>
        <w:widowControl w:val="0"/>
        <w:kinsoku/>
        <w:wordWrap/>
        <w:overflowPunct/>
        <w:topLinePunct w:val="0"/>
        <w:autoSpaceDE/>
        <w:autoSpaceDN/>
        <w:adjustRightInd/>
        <w:snapToGrid/>
        <w:spacing w:line="600" w:lineRule="exact"/>
        <w:ind w:left="0" w:firstLine="640" w:firstLineChars="200"/>
        <w:outlineLvl w:val="1"/>
        <w:rPr>
          <w:rStyle w:val="20"/>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0"/>
          <w:rFonts w:hint="eastAsia" w:ascii="Times New Roman" w:hAnsi="Times New Roman" w:eastAsia="黑体"/>
          <w:b w:val="0"/>
          <w:color w:val="auto"/>
          <w:highlight w:val="none"/>
        </w:rPr>
        <w:t>出决算情况说明</w:t>
      </w:r>
      <w:bookmarkEnd w:id="22"/>
      <w:bookmarkEnd w:id="23"/>
    </w:p>
    <w:p w14:paraId="3CCEDC88">
      <w:pPr>
        <w:pStyle w:val="26"/>
        <w:keepNext w:val="0"/>
        <w:keepLines w:val="0"/>
        <w:pageBreakBefore w:val="0"/>
        <w:widowControl w:val="0"/>
        <w:kinsoku/>
        <w:wordWrap/>
        <w:overflowPunct/>
        <w:topLinePunct w:val="0"/>
        <w:autoSpaceDE/>
        <w:autoSpaceDN/>
        <w:adjustRightInd/>
        <w:snapToGrid/>
        <w:spacing w:line="600" w:lineRule="exact"/>
        <w:ind w:left="0" w:firstLine="640" w:firstLineChars="200"/>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eastAsia="仿宋_GB2312" w:cs="仿宋_GB2312"/>
          <w:sz w:val="32"/>
          <w:szCs w:val="32"/>
        </w:rPr>
        <w:t>29.4</w:t>
      </w:r>
      <w:r>
        <w:rPr>
          <w:rFonts w:hint="eastAsia" w:ascii="Times New Roman" w:hAnsi="Times New Roman" w:eastAsia="仿宋_GB2312" w:cs="仿宋_GB2312"/>
          <w:color w:val="auto"/>
          <w:sz w:val="32"/>
          <w:szCs w:val="32"/>
          <w:highlight w:val="none"/>
          <w:lang w:eastAsia="zh-CN"/>
        </w:rPr>
        <w:t>万元，其中：项目支出</w:t>
      </w:r>
      <w:r>
        <w:rPr>
          <w:rFonts w:hint="eastAsia" w:ascii="仿宋_GB2312" w:eastAsia="仿宋_GB2312" w:cs="仿宋_GB2312"/>
          <w:sz w:val="32"/>
          <w:szCs w:val="32"/>
        </w:rPr>
        <w:t>29.4</w:t>
      </w:r>
      <w:r>
        <w:rPr>
          <w:rFonts w:hint="eastAsia" w:ascii="Times New Roman" w:hAnsi="Times New Roman" w:eastAsia="仿宋_GB2312" w:cs="仿宋_GB2312"/>
          <w:color w:val="auto"/>
          <w:sz w:val="32"/>
          <w:szCs w:val="32"/>
          <w:highlight w:val="none"/>
          <w:lang w:eastAsia="zh-CN"/>
        </w:rPr>
        <w:t>万元，占</w:t>
      </w:r>
      <w:r>
        <w:rPr>
          <w:rFonts w:hint="eastAsia" w:asci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p>
    <w:p w14:paraId="03646B62">
      <w:pPr>
        <w:spacing w:line="600" w:lineRule="exact"/>
        <w:ind w:firstLine="640" w:firstLineChars="200"/>
        <w:outlineLvl w:val="1"/>
        <w:rPr>
          <w:rStyle w:val="20"/>
          <w:rFonts w:ascii="Times New Roman" w:hAnsi="Times New Roman" w:eastAsia="黑体"/>
          <w:b w:val="0"/>
          <w:color w:val="auto"/>
          <w:highlight w:val="none"/>
        </w:rPr>
      </w:pPr>
      <w:bookmarkStart w:id="24" w:name="_Toc15396606"/>
      <w:bookmarkStart w:id="25" w:name="_Toc15377208"/>
      <w:r>
        <w:rPr>
          <w:rFonts w:hint="eastAsia" w:ascii="Times New Roman" w:hAnsi="Times New Roman" w:eastAsia="黑体"/>
          <w:color w:val="auto"/>
          <w:sz w:val="32"/>
          <w:szCs w:val="32"/>
          <w:highlight w:val="none"/>
        </w:rPr>
        <w:t>四、财</w:t>
      </w:r>
      <w:r>
        <w:rPr>
          <w:rStyle w:val="20"/>
          <w:rFonts w:hint="eastAsia" w:ascii="Times New Roman" w:hAnsi="Times New Roman" w:eastAsia="黑体"/>
          <w:b w:val="0"/>
          <w:color w:val="auto"/>
          <w:highlight w:val="none"/>
        </w:rPr>
        <w:t>政拨款收入支出决算总体情况说明</w:t>
      </w:r>
      <w:bookmarkEnd w:id="24"/>
      <w:bookmarkEnd w:id="25"/>
    </w:p>
    <w:p w14:paraId="0148BB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eastAsia="仿宋_GB2312" w:cs="仿宋_GB2312"/>
          <w:sz w:val="32"/>
          <w:szCs w:val="32"/>
        </w:rPr>
        <w:t>29.4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ascii="Times New Roman" w:hAnsi="Times New Roman" w:eastAsia="仿宋_GB2312" w:cs="仿宋_GB2312"/>
          <w:color w:val="auto"/>
          <w:kern w:val="2"/>
          <w:sz w:val="32"/>
          <w:szCs w:val="32"/>
          <w:highlight w:val="none"/>
          <w:lang w:val="en-US" w:eastAsia="zh-CN" w:bidi="ar-SA"/>
        </w:rPr>
        <w:t>10.68</w:t>
      </w:r>
      <w:r>
        <w:rPr>
          <w:rFonts w:hint="eastAsia" w:ascii="Times New Roman" w:hAnsi="Times New Roman" w:eastAsia="仿宋_GB2312" w:cs="仿宋_GB2312"/>
          <w:color w:val="auto"/>
          <w:kern w:val="2"/>
          <w:sz w:val="32"/>
          <w:szCs w:val="32"/>
          <w:highlight w:val="none"/>
          <w:lang w:val="en-US" w:eastAsia="zh-CN" w:bidi="ar-SA"/>
        </w:rPr>
        <w:t>万元，增长</w:t>
      </w:r>
      <w:r>
        <w:rPr>
          <w:rFonts w:ascii="Times New Roman" w:hAnsi="Times New Roman" w:eastAsia="仿宋_GB2312" w:cs="仿宋_GB2312"/>
          <w:color w:val="auto"/>
          <w:kern w:val="2"/>
          <w:sz w:val="32"/>
          <w:szCs w:val="32"/>
          <w:highlight w:val="none"/>
          <w:lang w:val="en-US" w:eastAsia="zh-CN" w:bidi="ar-SA"/>
        </w:rPr>
        <w:t>57.05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ascii="仿宋_GB2312" w:hAnsi="仿宋_GB2312" w:eastAsia="文泉驿微米黑"/>
          <w:sz w:val="32"/>
          <w:szCs w:val="32"/>
          <w:highlight w:val="none"/>
        </w:rPr>
        <w:t>开展活动增加年初预算。</w:t>
      </w:r>
    </w:p>
    <w:p w14:paraId="4F30D875">
      <w:pPr>
        <w:spacing w:line="600" w:lineRule="exact"/>
        <w:ind w:firstLine="640" w:firstLineChars="200"/>
        <w:rPr>
          <w:rStyle w:val="20"/>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0"/>
          <w:rFonts w:hint="eastAsia" w:ascii="Times New Roman" w:hAnsi="Times New Roman" w:eastAsia="黑体"/>
          <w:b w:val="0"/>
          <w:color w:val="auto"/>
          <w:highlight w:val="none"/>
        </w:rPr>
        <w:t>般公共预算财政拨款支出决算情况说明</w:t>
      </w:r>
      <w:bookmarkEnd w:id="26"/>
      <w:bookmarkEnd w:id="27"/>
    </w:p>
    <w:p w14:paraId="7919BBB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39F149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eastAsia="仿宋_GB2312" w:cs="仿宋_GB2312"/>
          <w:sz w:val="32"/>
          <w:szCs w:val="32"/>
        </w:rPr>
        <w:t>29.4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ascii="Times New Roman" w:hAnsi="Times New Roman" w:eastAsia="仿宋_GB2312" w:cs="仿宋_GB2312"/>
          <w:color w:val="auto"/>
          <w:kern w:val="2"/>
          <w:sz w:val="32"/>
          <w:szCs w:val="32"/>
          <w:highlight w:val="none"/>
          <w:lang w:val="en-US" w:eastAsia="zh-CN" w:bidi="ar-SA"/>
        </w:rPr>
        <w:t>10.68</w:t>
      </w:r>
      <w:r>
        <w:rPr>
          <w:rFonts w:hint="eastAsia" w:ascii="Times New Roman" w:hAnsi="Times New Roman" w:eastAsia="仿宋_GB2312" w:cs="仿宋_GB2312"/>
          <w:color w:val="auto"/>
          <w:kern w:val="2"/>
          <w:sz w:val="32"/>
          <w:szCs w:val="32"/>
          <w:highlight w:val="none"/>
          <w:lang w:val="en-US" w:eastAsia="zh-CN" w:bidi="ar-SA"/>
        </w:rPr>
        <w:t>万元，增长</w:t>
      </w:r>
      <w:r>
        <w:rPr>
          <w:rFonts w:ascii="Times New Roman" w:hAnsi="Times New Roman" w:eastAsia="仿宋_GB2312" w:cs="仿宋_GB2312"/>
          <w:color w:val="auto"/>
          <w:kern w:val="2"/>
          <w:sz w:val="32"/>
          <w:szCs w:val="32"/>
          <w:highlight w:val="none"/>
          <w:lang w:val="en-US" w:eastAsia="zh-CN" w:bidi="ar-SA"/>
        </w:rPr>
        <w:t>57.05</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ascii="仿宋_GB2312" w:hAnsi="仿宋_GB2312" w:eastAsia="文泉驿微米黑"/>
          <w:sz w:val="32"/>
          <w:szCs w:val="32"/>
          <w:highlight w:val="none"/>
        </w:rPr>
        <w:t>开展活动增加年初预算</w:t>
      </w:r>
      <w:r>
        <w:rPr>
          <w:rFonts w:ascii="Times New Roman" w:hAnsi="Times New Roman" w:eastAsia="文泉驿微米黑" w:cs="仿宋_GB2312"/>
          <w:color w:val="auto"/>
          <w:kern w:val="2"/>
          <w:sz w:val="32"/>
          <w:szCs w:val="32"/>
          <w:highlight w:val="none"/>
          <w:lang w:val="en-US" w:eastAsia="zh-CN" w:bidi="ar-SA"/>
        </w:rPr>
        <w:t>。</w:t>
      </w:r>
    </w:p>
    <w:p w14:paraId="159B44C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01ED9B5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eastAsia="仿宋_GB2312" w:cs="仿宋_GB2312"/>
          <w:sz w:val="32"/>
          <w:szCs w:val="32"/>
        </w:rPr>
        <w:t>29.4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ascii="Times New Roman" w:hAnsi="Times New Roman" w:eastAsia="仿宋_GB2312" w:cs="仿宋_GB2312"/>
          <w:color w:val="auto"/>
          <w:kern w:val="2"/>
          <w:sz w:val="32"/>
          <w:szCs w:val="32"/>
          <w:highlight w:val="none"/>
          <w:lang w:val="en-US" w:eastAsia="zh-CN" w:bidi="ar-SA"/>
        </w:rPr>
        <w:t>29.4</w:t>
      </w:r>
      <w:r>
        <w:rPr>
          <w:rFonts w:hint="eastAsia" w:ascii="Times New Roman" w:hAnsi="Times New Roman" w:eastAsia="仿宋_GB2312" w:cs="仿宋_GB2312"/>
          <w:color w:val="auto"/>
          <w:kern w:val="2"/>
          <w:sz w:val="32"/>
          <w:szCs w:val="32"/>
          <w:highlight w:val="none"/>
          <w:lang w:val="en-US" w:eastAsia="zh-CN" w:bidi="ar-SA"/>
        </w:rPr>
        <w:t>万元，占</w:t>
      </w:r>
      <w:r>
        <w:rPr>
          <w:rFonts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文泉驿微米黑" w:cs="仿宋_GB2312"/>
          <w:color w:val="auto"/>
          <w:kern w:val="2"/>
          <w:sz w:val="32"/>
          <w:szCs w:val="32"/>
          <w:highlight w:val="none"/>
          <w:lang w:val="en-US" w:eastAsia="zh-CN" w:bidi="ar-SA"/>
        </w:rPr>
        <w:t>。</w:t>
      </w:r>
    </w:p>
    <w:p w14:paraId="3AA840E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28AA1B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213"/>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eastAsia="仿宋_GB2312" w:cs="仿宋_GB2312"/>
          <w:sz w:val="32"/>
          <w:szCs w:val="32"/>
        </w:rPr>
        <w:t>29.4</w:t>
      </w:r>
      <w:r>
        <w:rPr>
          <w:rFonts w:hint="eastAsia" w:ascii="Times New Roman" w:hAnsi="Times New Roman" w:eastAsia="仿宋_GB2312" w:cs="仿宋_GB2312"/>
          <w:color w:val="auto"/>
          <w:kern w:val="2"/>
          <w:sz w:val="32"/>
          <w:szCs w:val="32"/>
          <w:highlight w:val="none"/>
          <w:lang w:val="en-US" w:eastAsia="zh-CN" w:bidi="ar-SA"/>
        </w:rPr>
        <w:t>，完成预算</w:t>
      </w:r>
      <w:r>
        <w:rPr>
          <w:rFonts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34E970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ascii="Times New Roman" w:hAnsi="Times New Roman" w:eastAsia="文泉驿微米黑" w:cs="仿宋_GB2312"/>
          <w:color w:val="auto"/>
          <w:kern w:val="2"/>
          <w:sz w:val="32"/>
          <w:szCs w:val="32"/>
          <w:lang w:val="en-US" w:eastAsia="zh-CN" w:bidi="ar-SA"/>
        </w:rPr>
        <w:t>民主党派及工商联事务</w:t>
      </w:r>
      <w:r>
        <w:rPr>
          <w:rFonts w:hint="eastAsia" w:ascii="Times New Roman" w:hAnsi="Times New Roman" w:eastAsia="仿宋_GB2312" w:cs="仿宋_GB2312"/>
          <w:color w:val="auto"/>
          <w:kern w:val="2"/>
          <w:sz w:val="32"/>
          <w:szCs w:val="32"/>
          <w:highlight w:val="none"/>
          <w:lang w:val="en-US" w:eastAsia="zh-CN" w:bidi="ar-SA"/>
        </w:rPr>
        <w:t>（款）</w:t>
      </w:r>
      <w:r>
        <w:rPr>
          <w:rFonts w:ascii="Times New Roman" w:hAnsi="Times New Roman" w:eastAsia="文泉驿微米黑" w:cs="仿宋_GB2312"/>
          <w:color w:val="auto"/>
          <w:kern w:val="2"/>
          <w:sz w:val="32"/>
          <w:szCs w:val="32"/>
          <w:highlight w:val="none"/>
          <w:lang w:val="en-US" w:eastAsia="zh-CN" w:bidi="ar-SA"/>
        </w:rPr>
        <w:t>参政议政</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ascii="Times New Roman" w:hAnsi="Times New Roman" w:eastAsia="仿宋_GB2312" w:cs="仿宋_GB2312"/>
          <w:color w:val="auto"/>
          <w:kern w:val="2"/>
          <w:sz w:val="32"/>
          <w:szCs w:val="32"/>
          <w:highlight w:val="none"/>
          <w:lang w:val="en-US" w:eastAsia="zh-CN" w:bidi="ar-SA"/>
        </w:rPr>
        <w:t>29.4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ascii="Times New Roman" w:hAnsi="Times New Roman" w:eastAsia="文泉驿微米黑" w:cs="仿宋_GB2312"/>
          <w:color w:val="auto"/>
          <w:kern w:val="2"/>
          <w:sz w:val="32"/>
          <w:szCs w:val="32"/>
          <w:highlight w:val="none"/>
          <w:lang w:val="en-US" w:eastAsia="zh-CN" w:bidi="ar-SA"/>
        </w:rPr>
        <w:t>。</w:t>
      </w:r>
    </w:p>
    <w:p w14:paraId="023FD57C">
      <w:pPr>
        <w:tabs>
          <w:tab w:val="right" w:pos="8306"/>
        </w:tabs>
        <w:spacing w:line="600" w:lineRule="exact"/>
        <w:ind w:firstLine="640"/>
        <w:outlineLvl w:val="1"/>
        <w:rPr>
          <w:rStyle w:val="20"/>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0"/>
          <w:rFonts w:hint="eastAsia" w:ascii="Times New Roman" w:hAnsi="Times New Roman" w:eastAsia="黑体"/>
          <w:b w:val="0"/>
          <w:color w:val="auto"/>
          <w:highlight w:val="none"/>
        </w:rPr>
        <w:t>般公共预算财政拨款基本支出决算情况说明</w:t>
      </w:r>
      <w:bookmarkEnd w:id="34"/>
      <w:bookmarkEnd w:id="35"/>
      <w:r>
        <w:rPr>
          <w:rStyle w:val="20"/>
          <w:rFonts w:ascii="Times New Roman" w:hAnsi="Times New Roman" w:eastAsia="黑体"/>
          <w:b w:val="0"/>
          <w:color w:val="auto"/>
          <w:highlight w:val="none"/>
        </w:rPr>
        <w:tab/>
      </w:r>
    </w:p>
    <w:p w14:paraId="2C3625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w:t>
      </w:r>
    </w:p>
    <w:p w14:paraId="39125DAA">
      <w:pPr>
        <w:spacing w:line="600" w:lineRule="exact"/>
        <w:ind w:firstLine="640"/>
        <w:rPr>
          <w:rFonts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06F2FC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C64DFBE">
      <w:pPr>
        <w:spacing w:line="600" w:lineRule="exact"/>
        <w:ind w:firstLine="640"/>
        <w:outlineLvl w:val="1"/>
        <w:rPr>
          <w:rStyle w:val="20"/>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0"/>
          <w:rFonts w:hint="eastAsia" w:ascii="Times New Roman" w:hAnsi="Times New Roman" w:eastAsia="黑体"/>
          <w:b w:val="0"/>
          <w:color w:val="auto"/>
          <w:highlight w:val="none"/>
        </w:rPr>
        <w:t>财政拨款</w:t>
      </w:r>
      <w:r>
        <w:rPr>
          <w:rStyle w:val="20"/>
          <w:rFonts w:hint="eastAsia" w:ascii="Times New Roman" w:hAnsi="Times New Roman" w:eastAsia="黑体"/>
          <w:color w:val="auto"/>
          <w:highlight w:val="none"/>
        </w:rPr>
        <w:t>“</w:t>
      </w:r>
      <w:r>
        <w:rPr>
          <w:rStyle w:val="20"/>
          <w:rFonts w:hint="eastAsia" w:ascii="Times New Roman" w:hAnsi="Times New Roman" w:eastAsia="黑体"/>
          <w:b w:val="0"/>
          <w:color w:val="auto"/>
          <w:highlight w:val="none"/>
        </w:rPr>
        <w:t>三公”经费支出决算情况说明</w:t>
      </w:r>
      <w:bookmarkEnd w:id="36"/>
      <w:bookmarkEnd w:id="37"/>
    </w:p>
    <w:p w14:paraId="16D9562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69CF9E40">
      <w:pPr>
        <w:spacing w:line="600" w:lineRule="exact"/>
        <w:ind w:firstLine="640"/>
        <w:rPr>
          <w:rFonts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ascii="Times New Roman" w:hAnsi="Times New Roman" w:eastAsia="仿宋_GB2312" w:cs="仿宋_GB2312"/>
          <w:color w:val="auto"/>
          <w:kern w:val="2"/>
          <w:sz w:val="32"/>
          <w:szCs w:val="32"/>
          <w:highlight w:val="none"/>
          <w:lang w:val="en-US" w:eastAsia="zh-CN" w:bidi="ar-SA"/>
        </w:rPr>
        <w:t>10</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w:t>
      </w:r>
      <w:r>
        <w:rPr>
          <w:rFonts w:ascii="Times New Roman" w:hAnsi="Times New Roman" w:eastAsia="文泉驿微米黑" w:cs="仿宋_GB2312"/>
          <w:color w:val="auto"/>
          <w:kern w:val="2"/>
          <w:sz w:val="32"/>
          <w:szCs w:val="32"/>
          <w:highlight w:val="none"/>
          <w:lang w:val="en-US" w:eastAsia="zh-CN" w:bidi="ar-SA"/>
        </w:rPr>
        <w:t>无变化</w:t>
      </w:r>
      <w:r>
        <w:rPr>
          <w:rFonts w:hint="eastAsia" w:ascii="Times New Roman" w:hAnsi="Times New Roman" w:eastAsia="仿宋_GB2312" w:cs="仿宋_GB2312"/>
          <w:color w:val="auto"/>
          <w:kern w:val="2"/>
          <w:sz w:val="32"/>
          <w:szCs w:val="32"/>
          <w:highlight w:val="none"/>
          <w:lang w:val="en-US" w:eastAsia="zh-CN" w:bidi="ar-SA"/>
        </w:rPr>
        <w:t>。</w:t>
      </w:r>
      <w:bookmarkStart w:id="39" w:name="_Toc15377217"/>
    </w:p>
    <w:p w14:paraId="057C3522">
      <w:pPr>
        <w:spacing w:line="600" w:lineRule="exact"/>
        <w:ind w:firstLine="640"/>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35687B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ascii="Times New Roman" w:hAnsi="Times New Roman"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0B7844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ascii="Times New Roman" w:hAnsi="Times New Roman"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ascii="Times New Roman" w:hAnsi="Times New Roman" w:eastAsia="文泉驿微米黑" w:cs="仿宋_GB2312"/>
          <w:color w:val="auto"/>
          <w:kern w:val="2"/>
          <w:sz w:val="32"/>
          <w:szCs w:val="32"/>
          <w:highlight w:val="none"/>
          <w:lang w:val="en-US" w:eastAsia="zh-CN" w:bidi="ar-SA"/>
        </w:rPr>
        <w:t>持平。</w:t>
      </w:r>
    </w:p>
    <w:p w14:paraId="73D7A7C6">
      <w:pPr>
        <w:spacing w:line="600" w:lineRule="exact"/>
        <w:ind w:firstLine="640"/>
        <w:rPr>
          <w:rFonts w:ascii="Times New Roman" w:hAnsi="Times New Roman" w:eastAsia="文泉驿微米黑"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ascii="Times New Roman" w:hAnsi="Times New Roman"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务用车购置及运行维护费支出决算比</w:t>
      </w:r>
      <w:r>
        <w:rPr>
          <w:rFonts w:hint="eastAsia" w:eastAsia="仿宋_GB2312" w:cs="仿宋_GB2312"/>
          <w:color w:val="auto"/>
          <w:kern w:val="2"/>
          <w:sz w:val="32"/>
          <w:szCs w:val="32"/>
          <w:highlight w:val="none"/>
          <w:lang w:val="en-US" w:eastAsia="zh-CN" w:bidi="ar-SA"/>
        </w:rPr>
        <w:t>上年度</w:t>
      </w:r>
      <w:r>
        <w:rPr>
          <w:rFonts w:ascii="Times New Roman" w:hAnsi="Times New Roman" w:eastAsia="文泉驿微米黑" w:cs="仿宋_GB2312"/>
          <w:color w:val="auto"/>
          <w:kern w:val="2"/>
          <w:sz w:val="32"/>
          <w:szCs w:val="32"/>
          <w:highlight w:val="none"/>
          <w:lang w:val="en-US" w:eastAsia="zh-CN" w:bidi="ar-SA"/>
        </w:rPr>
        <w:t>持平。</w:t>
      </w:r>
    </w:p>
    <w:p w14:paraId="50E5CC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中：公务用车购置支出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，其中：轿车</w:t>
      </w:r>
      <w:r>
        <w:rPr>
          <w:rFonts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、越野车</w:t>
      </w:r>
      <w:r>
        <w:rPr>
          <w:rFonts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、载客汽车</w:t>
      </w:r>
      <w:r>
        <w:rPr>
          <w:rFonts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673572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万元。主要用于所需的公务用车燃料费、维修费、过路过桥费、保险费等支出。</w:t>
      </w:r>
    </w:p>
    <w:p w14:paraId="41BCC3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ascii="Times New Roman" w:hAnsi="Times New Roman"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ascii="Times New Roman" w:hAnsi="Times New Roman" w:eastAsia="文泉驿微米黑" w:cs="仿宋_GB2312"/>
          <w:color w:val="auto"/>
          <w:kern w:val="2"/>
          <w:sz w:val="32"/>
          <w:szCs w:val="32"/>
          <w:highlight w:val="none"/>
          <w:lang w:val="en-US" w:eastAsia="zh-CN" w:bidi="ar-SA"/>
        </w:rPr>
        <w:t>持平。</w:t>
      </w:r>
    </w:p>
    <w:p w14:paraId="556959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1395F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ascii="Times New Roman" w:hAnsi="Times New Roman"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299F248D">
      <w:pPr>
        <w:spacing w:line="600" w:lineRule="exact"/>
        <w:ind w:firstLine="640"/>
        <w:outlineLvl w:val="1"/>
        <w:rPr>
          <w:rStyle w:val="20"/>
          <w:rFonts w:ascii="Times New Roman" w:hAnsi="Times New Roman" w:eastAsia="黑体"/>
          <w:color w:val="auto"/>
          <w:highlight w:val="none"/>
        </w:rPr>
      </w:pPr>
      <w:bookmarkStart w:id="40" w:name="_Toc15377218"/>
      <w:bookmarkStart w:id="41" w:name="_Toc15396610"/>
      <w:r>
        <w:rPr>
          <w:rFonts w:hint="eastAsia" w:ascii="Times New Roman" w:hAnsi="Times New Roman" w:eastAsia="黑体"/>
          <w:color w:val="auto"/>
          <w:sz w:val="32"/>
          <w:szCs w:val="32"/>
          <w:highlight w:val="none"/>
        </w:rPr>
        <w:t>八、</w:t>
      </w:r>
      <w:r>
        <w:rPr>
          <w:rStyle w:val="20"/>
          <w:rFonts w:hint="eastAsia" w:ascii="Times New Roman" w:hAnsi="Times New Roman" w:eastAsia="黑体"/>
          <w:b w:val="0"/>
          <w:color w:val="auto"/>
          <w:highlight w:val="none"/>
        </w:rPr>
        <w:t>政府性基金预算支出决算情况说明</w:t>
      </w:r>
      <w:bookmarkEnd w:id="40"/>
      <w:bookmarkEnd w:id="41"/>
    </w:p>
    <w:p w14:paraId="6E01B4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ascii="Times New Roman" w:hAnsi="Times New Roman" w:eastAsia="文泉驿微米黑" w:cs="仿宋_GB2312"/>
          <w:color w:val="auto"/>
          <w:kern w:val="2"/>
          <w:sz w:val="32"/>
          <w:szCs w:val="32"/>
          <w:highlight w:val="none"/>
          <w:lang w:val="en-US" w:eastAsia="zh-CN" w:bidi="ar-SA"/>
        </w:rPr>
        <w:t>持平。</w:t>
      </w:r>
    </w:p>
    <w:p w14:paraId="60B6BF2B">
      <w:pPr>
        <w:spacing w:line="600" w:lineRule="exact"/>
        <w:ind w:left="630"/>
        <w:outlineLvl w:val="1"/>
        <w:rPr>
          <w:rStyle w:val="20"/>
          <w:rFonts w:ascii="Times New Roman" w:hAnsi="Times New Roman" w:eastAsia="黑体"/>
          <w:b w:val="0"/>
          <w:color w:val="auto"/>
          <w:highlight w:val="none"/>
        </w:rPr>
      </w:pPr>
      <w:bookmarkStart w:id="42" w:name="_Toc15396611"/>
      <w:bookmarkStart w:id="43" w:name="_Toc15377219"/>
      <w:r>
        <w:rPr>
          <w:rStyle w:val="20"/>
          <w:rFonts w:hint="eastAsia" w:ascii="Times New Roman" w:hAnsi="Times New Roman" w:eastAsia="黑体"/>
          <w:b w:val="0"/>
          <w:color w:val="auto"/>
          <w:highlight w:val="none"/>
          <w:lang w:eastAsia="zh-CN"/>
        </w:rPr>
        <w:t>九、</w:t>
      </w:r>
      <w:r>
        <w:rPr>
          <w:rStyle w:val="20"/>
          <w:rFonts w:hint="eastAsia" w:ascii="Times New Roman" w:hAnsi="Times New Roman" w:eastAsia="黑体"/>
          <w:b w:val="0"/>
          <w:color w:val="auto"/>
          <w:highlight w:val="none"/>
        </w:rPr>
        <w:t>国有资本经营预算支出决算情况说明</w:t>
      </w:r>
      <w:bookmarkEnd w:id="42"/>
      <w:bookmarkEnd w:id="43"/>
    </w:p>
    <w:p w14:paraId="0F5C5E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ascii="Times New Roman" w:hAnsi="Times New Roman" w:eastAsia="文泉驿微米黑" w:cs="仿宋_GB2312"/>
          <w:color w:val="auto"/>
          <w:kern w:val="2"/>
          <w:sz w:val="32"/>
          <w:szCs w:val="32"/>
          <w:highlight w:val="none"/>
          <w:lang w:val="en-US" w:eastAsia="zh-CN" w:bidi="ar-SA"/>
        </w:rPr>
        <w:t>持平。</w:t>
      </w:r>
    </w:p>
    <w:p w14:paraId="23F32CDD">
      <w:pPr>
        <w:spacing w:line="600" w:lineRule="exact"/>
        <w:ind w:left="630"/>
        <w:outlineLvl w:val="1"/>
        <w:rPr>
          <w:rStyle w:val="20"/>
          <w:rFonts w:hint="eastAsia" w:ascii="Times New Roman" w:hAnsi="Times New Roman" w:eastAsia="黑体"/>
          <w:b w:val="0"/>
          <w:color w:val="auto"/>
          <w:highlight w:val="none"/>
        </w:rPr>
      </w:pPr>
      <w:bookmarkStart w:id="44" w:name="_Toc15377221"/>
      <w:bookmarkStart w:id="45" w:name="_Toc15396612"/>
      <w:r>
        <w:rPr>
          <w:rStyle w:val="20"/>
          <w:rFonts w:hint="eastAsia" w:ascii="Times New Roman" w:hAnsi="Times New Roman" w:eastAsia="黑体"/>
          <w:b w:val="0"/>
          <w:color w:val="auto"/>
          <w:highlight w:val="none"/>
          <w:lang w:eastAsia="zh-CN"/>
        </w:rPr>
        <w:t>十、</w:t>
      </w:r>
      <w:r>
        <w:rPr>
          <w:rStyle w:val="20"/>
          <w:rFonts w:hint="eastAsia" w:ascii="Times New Roman" w:hAnsi="Times New Roman" w:eastAsia="黑体"/>
          <w:b w:val="0"/>
          <w:color w:val="auto"/>
          <w:highlight w:val="none"/>
        </w:rPr>
        <w:t>其他重要事项的情况说明</w:t>
      </w:r>
      <w:bookmarkEnd w:id="44"/>
      <w:bookmarkEnd w:id="45"/>
    </w:p>
    <w:p w14:paraId="249C7C8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4C79D4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仿宋_GB2312"/>
          <w:sz w:val="32"/>
          <w:szCs w:val="32"/>
        </w:rPr>
        <w:t>中国国民党革命委员会四川省委员会直属巴中市支部</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年度持平</w:t>
      </w:r>
      <w:r>
        <w:rPr>
          <w:rFonts w:ascii="Times New Roman" w:hAnsi="Times New Roman" w:eastAsia="文泉驿微米黑" w:cs="仿宋_GB2312"/>
          <w:color w:val="auto"/>
          <w:kern w:val="2"/>
          <w:sz w:val="32"/>
          <w:szCs w:val="32"/>
          <w:highlight w:val="none"/>
          <w:lang w:val="en-US" w:eastAsia="zh-CN" w:bidi="ar-SA"/>
        </w:rPr>
        <w:t>。</w:t>
      </w:r>
    </w:p>
    <w:p w14:paraId="296CC68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02D7BC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仿宋_GB2312"/>
          <w:sz w:val="32"/>
          <w:szCs w:val="32"/>
        </w:rPr>
        <w:t>中国国民党革命委员会四川省委员会直属巴中市支部</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ascii="Times New Roman" w:hAnsi="Times New Roman" w:eastAsia="仿宋_GB2312" w:cs="仿宋_GB2312"/>
          <w:color w:val="auto"/>
          <w:kern w:val="2"/>
          <w:sz w:val="32"/>
          <w:szCs w:val="32"/>
          <w:highlight w:val="none"/>
          <w:lang w:val="en-US" w:eastAsia="zh-CN" w:bidi="ar-SA"/>
        </w:rPr>
        <w:t>10</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6008901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7600AA6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eastAsia="仿宋_GB2312" w:cs="仿宋_GB2312"/>
          <w:sz w:val="32"/>
          <w:szCs w:val="32"/>
        </w:rPr>
        <w:t>中国国民党革命委员会四川省委员会直属巴中市支部</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1ACF939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5E887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eastAsia="仿宋_GB2312" w:cs="仿宋_GB2312"/>
          <w:sz w:val="32"/>
          <w:szCs w:val="32"/>
        </w:rPr>
        <w:t>中国国民党革命委员会四川省委员会直属巴中市支部</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ascii="Times New Roman" w:hAnsi="Times New Roman" w:eastAsia="文泉驿微米黑" w:cs="仿宋_GB2312"/>
          <w:color w:val="auto"/>
          <w:kern w:val="2"/>
          <w:sz w:val="32"/>
          <w:szCs w:val="32"/>
          <w:highlight w:val="none"/>
          <w:lang w:val="en-US" w:eastAsia="zh-CN" w:bidi="ar-SA"/>
        </w:rPr>
        <w:t>民革学习考察及基层调研经费</w:t>
      </w:r>
      <w:r>
        <w:rPr>
          <w:rFonts w:hint="eastAsia" w:ascii="Times New Roman" w:hAnsi="Times New Roman" w:eastAsia="仿宋_GB2312" w:cs="仿宋_GB2312"/>
          <w:color w:val="auto"/>
          <w:kern w:val="2"/>
          <w:sz w:val="32"/>
          <w:szCs w:val="32"/>
          <w:highlight w:val="none"/>
          <w:lang w:val="en-US" w:eastAsia="zh-CN" w:bidi="ar-SA"/>
        </w:rPr>
        <w:t>涉及金额</w:t>
      </w:r>
      <w:r>
        <w:rPr>
          <w:rFonts w:ascii="Times New Roman" w:hAnsi="Times New Roman" w:eastAsia="仿宋_GB2312" w:cs="仿宋_GB2312"/>
          <w:color w:val="auto"/>
          <w:kern w:val="2"/>
          <w:sz w:val="32"/>
          <w:szCs w:val="32"/>
          <w:highlight w:val="none"/>
          <w:lang w:val="en-US" w:eastAsia="zh-CN" w:bidi="ar-SA"/>
        </w:rPr>
        <w:t>29.4</w:t>
      </w:r>
      <w:r>
        <w:rPr>
          <w:rFonts w:hint="eastAsia" w:ascii="Times New Roman" w:hAnsi="Times New Roman" w:eastAsia="仿宋_GB2312" w:cs="仿宋_GB2312"/>
          <w:color w:val="auto"/>
          <w:kern w:val="2"/>
          <w:sz w:val="32"/>
          <w:szCs w:val="32"/>
          <w:highlight w:val="none"/>
          <w:lang w:val="en-US" w:eastAsia="zh-CN" w:bidi="ar-SA"/>
        </w:rPr>
        <w:t>万元开展了事前绩效评估，对项目编制了绩效目标，预算执行过程中，选取</w:t>
      </w:r>
      <w:r>
        <w:rPr>
          <w:rFonts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FBAFE38">
      <w:pPr>
        <w:spacing w:line="600" w:lineRule="exact"/>
        <w:jc w:val="center"/>
        <w:outlineLvl w:val="0"/>
        <w:rPr>
          <w:rFonts w:hint="eastAsia" w:ascii="Times New Roman" w:hAnsi="Times New Roman" w:eastAsia="黑体"/>
          <w:color w:val="auto"/>
          <w:sz w:val="44"/>
          <w:szCs w:val="44"/>
          <w:highlight w:val="none"/>
        </w:rPr>
      </w:pPr>
      <w:bookmarkStart w:id="49" w:name="_Toc15396613"/>
      <w:bookmarkStart w:id="50"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18D311A5">
      <w:pPr>
        <w:spacing w:line="600" w:lineRule="exact"/>
        <w:jc w:val="left"/>
        <w:rPr>
          <w:rFonts w:ascii="Times New Roman" w:hAnsi="Times New Roman"/>
          <w:b/>
          <w:color w:val="auto"/>
          <w:sz w:val="44"/>
          <w:szCs w:val="44"/>
          <w:highlight w:val="none"/>
        </w:rPr>
      </w:pPr>
    </w:p>
    <w:p w14:paraId="064A71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EAD43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475AB83B">
      <w:pPr>
        <w:spacing w:line="600" w:lineRule="exact"/>
        <w:ind w:firstLine="640"/>
        <w:rPr>
          <w:rFonts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737F3C19">
      <w:pPr>
        <w:spacing w:line="600" w:lineRule="exact"/>
        <w:ind w:firstLine="640" w:firstLineChars="200"/>
        <w:rPr>
          <w:rFonts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14:paraId="4367C9F7">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42569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C0976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09738A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3FE51A14">
      <w:pPr>
        <w:spacing w:line="600" w:lineRule="exact"/>
        <w:ind w:firstLine="640"/>
        <w:rPr>
          <w:rFonts w:ascii="Times New Roman" w:hAnsi="Times New Roman" w:eastAsia="方正仿宋_GBK" w:cs="Times New Roman"/>
          <w:color w:val="auto"/>
          <w:sz w:val="32"/>
          <w:szCs w:val="32"/>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w:t>
      </w:r>
      <w:r>
        <w:rPr>
          <w:rFonts w:ascii="Times New Roman" w:hAnsi="Times New Roman" w:eastAsia="文泉驿微米黑" w:cs="仿宋_GB2312"/>
          <w:color w:val="auto"/>
          <w:kern w:val="2"/>
          <w:sz w:val="32"/>
          <w:szCs w:val="32"/>
          <w:lang w:val="en-US" w:eastAsia="zh-CN" w:bidi="ar-SA"/>
        </w:rPr>
        <w:t>民主党派及工商联事务</w:t>
      </w:r>
      <w:r>
        <w:rPr>
          <w:rFonts w:hint="eastAsia" w:ascii="Times New Roman" w:hAnsi="Times New Roman" w:eastAsia="仿宋_GB2312" w:cs="仿宋_GB2312"/>
          <w:color w:val="auto"/>
          <w:kern w:val="2"/>
          <w:sz w:val="32"/>
          <w:szCs w:val="32"/>
          <w:highlight w:val="none"/>
          <w:lang w:val="en-US" w:eastAsia="zh-CN" w:bidi="ar-SA"/>
        </w:rPr>
        <w:t>（款）</w:t>
      </w:r>
      <w:r>
        <w:rPr>
          <w:rFonts w:ascii="Times New Roman" w:hAnsi="Times New Roman" w:eastAsia="文泉驿微米黑" w:cs="仿宋_GB2312"/>
          <w:color w:val="auto"/>
          <w:kern w:val="2"/>
          <w:sz w:val="32"/>
          <w:szCs w:val="32"/>
          <w:lang w:val="en-US" w:eastAsia="zh-CN" w:bidi="ar-SA"/>
        </w:rPr>
        <w:t>参政议政</w:t>
      </w:r>
      <w:r>
        <w:rPr>
          <w:rFonts w:hint="eastAsia" w:ascii="Times New Roman" w:hAnsi="Times New Roman" w:eastAsia="仿宋_GB2312" w:cs="仿宋_GB2312"/>
          <w:color w:val="auto"/>
          <w:kern w:val="2"/>
          <w:sz w:val="32"/>
          <w:szCs w:val="32"/>
          <w:highlight w:val="none"/>
          <w:lang w:val="en-US" w:eastAsia="zh-CN" w:bidi="ar-SA"/>
        </w:rPr>
        <w:t>（项）：指</w:t>
      </w:r>
      <w:r>
        <w:rPr>
          <w:rFonts w:hint="eastAsia" w:eastAsia="仿宋_GB2312" w:cs="仿宋_GB2312"/>
          <w:sz w:val="32"/>
          <w:szCs w:val="32"/>
        </w:rPr>
        <w:t>参政议政学习考察及基层调研</w:t>
      </w:r>
      <w:r>
        <w:rPr>
          <w:rFonts w:eastAsia="文泉驿微米黑" w:cs="仿宋_GB2312"/>
          <w:sz w:val="32"/>
          <w:szCs w:val="32"/>
        </w:rPr>
        <w:t>的金额。</w:t>
      </w:r>
    </w:p>
    <w:p w14:paraId="5CA66B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0C1B52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6B6768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38962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ascii="Times New Roman" w:hAnsi="Times New Roman"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E622A2A">
      <w:pPr>
        <w:spacing w:line="600" w:lineRule="exact"/>
        <w:jc w:val="center"/>
        <w:rPr>
          <w:rStyle w:val="19"/>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1D95E5C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sz w:val="44"/>
          <w:szCs w:val="44"/>
          <w:highlight w:val="none"/>
          <w:shd w:val="clear" w:color="auto" w:fill="FFFFFF"/>
        </w:rPr>
      </w:pPr>
    </w:p>
    <w:p w14:paraId="0735A8E8">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sz w:val="44"/>
          <w:szCs w:val="44"/>
          <w:highlight w:val="none"/>
          <w:shd w:val="clear" w:color="auto" w:fill="FFFFFF"/>
        </w:rPr>
      </w:pPr>
      <w:r>
        <w:rPr>
          <w:rFonts w:ascii="Times New Roman" w:hAnsi="Times New Roman" w:eastAsia="方正小标宋简体" w:cs="Times New Roman"/>
          <w:b w:val="0"/>
          <w:bCs/>
          <w:sz w:val="44"/>
          <w:szCs w:val="44"/>
          <w:highlight w:val="none"/>
          <w:shd w:val="clear" w:color="auto" w:fill="FFFFFF"/>
        </w:rPr>
        <w:t>部门</w:t>
      </w:r>
      <w:r>
        <w:rPr>
          <w:rFonts w:ascii="Times New Roman" w:hAnsi="Times New Roman" w:eastAsia="方正小标宋简体" w:cs="Times New Roman"/>
          <w:b w:val="0"/>
          <w:bCs/>
          <w:sz w:val="44"/>
          <w:szCs w:val="44"/>
          <w:highlight w:val="none"/>
          <w:shd w:val="clear" w:color="auto" w:fill="FFFFFF"/>
          <w:lang w:eastAsia="zh-CN"/>
        </w:rPr>
        <w:t>预算</w:t>
      </w:r>
      <w:r>
        <w:rPr>
          <w:rFonts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ascii="Times New Roman" w:hAnsi="Times New Roman" w:eastAsia="方正小标宋简体" w:cs="Times New Roman"/>
          <w:b w:val="0"/>
          <w:bCs/>
          <w:sz w:val="44"/>
          <w:szCs w:val="44"/>
          <w:highlight w:val="none"/>
          <w:shd w:val="clear" w:color="auto" w:fill="FFFFFF"/>
        </w:rPr>
        <w:t>报告</w:t>
      </w:r>
    </w:p>
    <w:p w14:paraId="22C98AC9">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ascii="Times New Roman" w:hAnsi="Times New Roman" w:eastAsia="黑体" w:cs="Times New Roman"/>
          <w:color w:val="000000"/>
          <w:kern w:val="0"/>
          <w:sz w:val="24"/>
          <w:szCs w:val="32"/>
          <w:highlight w:val="none"/>
          <w:shd w:val="clear" w:color="auto" w:fill="FFFFFF"/>
        </w:rPr>
      </w:pPr>
    </w:p>
    <w:p w14:paraId="4F87CCCA">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ascii="Times New Roman" w:hAnsi="Times New Roman" w:eastAsia="黑体" w:cs="Times New Roman"/>
          <w:color w:val="000000"/>
          <w:kern w:val="0"/>
          <w:sz w:val="32"/>
          <w:szCs w:val="32"/>
          <w:highlight w:val="none"/>
          <w:shd w:val="clear" w:color="auto" w:fill="FFFFFF"/>
          <w:lang w:val="zh-CN"/>
        </w:rPr>
        <w:t>部门（单位）基本情况</w:t>
      </w:r>
    </w:p>
    <w:p w14:paraId="67A5B3A3">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ascii="Times New Roman" w:hAnsi="Times New Roman" w:eastAsia="楷体_GB2312" w:cs="楷体_GB2312"/>
          <w:b/>
          <w:color w:val="auto"/>
          <w:sz w:val="32"/>
          <w:szCs w:val="32"/>
          <w:highlight w:val="none"/>
          <w:lang w:val="zh-CN"/>
        </w:rPr>
        <w:t>机构组成。</w:t>
      </w:r>
      <w:r>
        <w:rPr>
          <w:rFonts w:hint="eastAsia" w:ascii="仿宋_GB2312" w:eastAsia="仿宋_GB2312" w:cs="仿宋_GB2312"/>
          <w:sz w:val="32"/>
          <w:szCs w:val="32"/>
        </w:rPr>
        <w:t>中国国民党革命委员会四川省委员会直属巴中市支部</w:t>
      </w:r>
      <w:r>
        <w:rPr>
          <w:rFonts w:ascii="仿宋_GB2312" w:hAnsi="仿宋_GB2312" w:eastAsia="文泉驿微米黑" w:cs="仿宋_GB2312"/>
          <w:sz w:val="32"/>
          <w:szCs w:val="32"/>
        </w:rPr>
        <w:t>无</w:t>
      </w:r>
      <w:r>
        <w:rPr>
          <w:rFonts w:hint="eastAsia" w:ascii="Times New Roman" w:hAnsi="Times New Roman" w:eastAsia="仿宋_GB2312" w:cs="仿宋_GB2312"/>
          <w:color w:val="auto"/>
          <w:kern w:val="2"/>
          <w:sz w:val="32"/>
          <w:szCs w:val="32"/>
          <w:highlight w:val="none"/>
          <w:lang w:val="en-US" w:eastAsia="zh-CN" w:bidi="ar-SA"/>
        </w:rPr>
        <w:t>内设</w:t>
      </w:r>
      <w:r>
        <w:rPr>
          <w:rFonts w:ascii="Times New Roman" w:hAnsi="Times New Roman" w:eastAsia="仿宋_GB2312" w:cs="仿宋_GB2312"/>
          <w:color w:val="auto"/>
          <w:kern w:val="2"/>
          <w:sz w:val="32"/>
          <w:szCs w:val="32"/>
          <w:highlight w:val="none"/>
          <w:lang w:val="en-US" w:eastAsia="zh-CN" w:bidi="ar-SA"/>
        </w:rPr>
        <w:t>处室</w:t>
      </w:r>
      <w:r>
        <w:rPr>
          <w:rFonts w:hint="eastAsia" w:ascii="Times New Roman" w:hAnsi="Times New Roman" w:eastAsia="仿宋_GB2312" w:cs="仿宋_GB2312"/>
          <w:color w:val="auto"/>
          <w:kern w:val="2"/>
          <w:sz w:val="32"/>
          <w:szCs w:val="32"/>
          <w:highlight w:val="none"/>
          <w:lang w:val="en-US" w:eastAsia="zh-CN" w:bidi="ar-SA"/>
        </w:rPr>
        <w:t>及下属单位情况</w:t>
      </w:r>
      <w:r>
        <w:rPr>
          <w:rFonts w:ascii="Times New Roman" w:hAnsi="Times New Roman" w:eastAsia="仿宋_GB2312" w:cs="仿宋_GB2312"/>
          <w:color w:val="auto"/>
          <w:kern w:val="2"/>
          <w:sz w:val="32"/>
          <w:szCs w:val="32"/>
          <w:highlight w:val="none"/>
          <w:lang w:val="en-US" w:eastAsia="zh-CN" w:bidi="ar-SA"/>
        </w:rPr>
        <w:t>。</w:t>
      </w:r>
    </w:p>
    <w:p w14:paraId="633EEE45">
      <w:pPr>
        <w:keepNext w:val="0"/>
        <w:keepLines w:val="0"/>
        <w:pageBreakBefore w:val="0"/>
        <w:widowControl/>
        <w:kinsoku/>
        <w:wordWrap/>
        <w:overflowPunct/>
        <w:topLinePunct w:val="0"/>
        <w:autoSpaceDE/>
        <w:autoSpaceDN/>
        <w:bidi w:val="0"/>
        <w:spacing w:line="600" w:lineRule="exact"/>
        <w:ind w:firstLine="643" w:firstLineChars="200"/>
        <w:jc w:val="left"/>
        <w:textAlignment w:val="auto"/>
        <w:rPr>
          <w:rFonts w:hint="eastAsia" w:ascii="仿宋_GB2312" w:eastAsia="仿宋_GB2312" w:cs="Times New Roman"/>
          <w:kern w:val="0"/>
          <w:sz w:val="32"/>
          <w:szCs w:val="32"/>
          <w:lang w:val="en-US" w:eastAsia="zh-CN" w:bidi="ar-SA"/>
        </w:rPr>
      </w:pPr>
      <w:r>
        <w:rPr>
          <w:rFonts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eastAsia="仿宋_GB2312"/>
          <w:sz w:val="32"/>
          <w:szCs w:val="32"/>
          <w:lang w:eastAsia="zh-CN"/>
        </w:rPr>
        <w:t>积极履行参政议政、民主监督、服务社会等各项职能。宣传贯彻中国特色社会主义有关方针、政策，传达、执行上级组织的决议和所布置的任务，教育和鼓励党员做好本职工作，协助其单位完成各项任务。</w:t>
      </w:r>
    </w:p>
    <w:p w14:paraId="573DB9BB">
      <w:pPr>
        <w:pStyle w:val="8"/>
        <w:keepNext w:val="0"/>
        <w:keepLines w:val="0"/>
        <w:pageBreakBefore w:val="0"/>
        <w:widowControl w:val="0"/>
        <w:kinsoku/>
        <w:wordWrap/>
        <w:overflowPunct/>
        <w:topLinePunct w:val="0"/>
        <w:autoSpaceDE/>
        <w:autoSpaceDN/>
        <w:adjustRightInd w:val="0"/>
        <w:snapToGrid w:val="0"/>
        <w:spacing w:before="93" w:beforeLines="0" w:line="600" w:lineRule="exact"/>
        <w:ind w:left="0" w:firstLine="643" w:firstLineChars="200"/>
        <w:outlineLvl w:val="2"/>
        <w:rPr>
          <w:rFonts w:ascii="Times New Roman" w:hAnsi="Times New Roman" w:cs="Times New Roman"/>
          <w:color w:val="auto"/>
          <w:szCs w:val="32"/>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auto"/>
          <w:kern w:val="0"/>
          <w:sz w:val="32"/>
          <w:szCs w:val="32"/>
          <w:highlight w:val="none"/>
          <w:shd w:val="clear" w:color="auto" w:fill="FFFFFF"/>
          <w:lang w:val="zh-CN"/>
        </w:rPr>
        <w:t>。</w:t>
      </w:r>
      <w:r>
        <w:rPr>
          <w:rFonts w:ascii="Times New Roman" w:hAnsi="Times New Roman" w:eastAsia="仿宋_GB2312"/>
          <w:color w:val="auto"/>
          <w:kern w:val="2"/>
          <w:sz w:val="32"/>
          <w:szCs w:val="32"/>
          <w:lang w:val="en-US" w:eastAsia="zh-CN" w:bidi="ar-SA"/>
        </w:rPr>
        <w:t>单位无在编人员，2025年末，有正式党员</w:t>
      </w:r>
      <w:r>
        <w:rPr>
          <w:rFonts w:hint="eastAsia" w:ascii="Times New Roman"/>
          <w:color w:val="auto"/>
          <w:kern w:val="2"/>
          <w:sz w:val="32"/>
          <w:szCs w:val="32"/>
          <w:lang w:val="en-US" w:eastAsia="zh-CN" w:bidi="ar-SA"/>
        </w:rPr>
        <w:t>32</w:t>
      </w:r>
      <w:r>
        <w:rPr>
          <w:rFonts w:ascii="Times New Roman" w:hAnsi="Times New Roman" w:eastAsia="仿宋_GB2312"/>
          <w:color w:val="auto"/>
          <w:kern w:val="2"/>
          <w:sz w:val="32"/>
          <w:szCs w:val="32"/>
          <w:lang w:val="en-US" w:eastAsia="zh-CN" w:bidi="ar-SA"/>
        </w:rPr>
        <w:t>名，设置主委1名，班子成员3名。</w:t>
      </w:r>
    </w:p>
    <w:p w14:paraId="7D8AABA5">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lang w:val="zh-CN" w:eastAsia="zh-CN"/>
        </w:rPr>
      </w:pPr>
      <w:r>
        <w:rPr>
          <w:rFonts w:ascii="Times New Roman" w:hAnsi="Times New Roman" w:eastAsia="黑体" w:cs="Times New Roman"/>
          <w:color w:val="000000"/>
          <w:kern w:val="0"/>
          <w:sz w:val="32"/>
          <w:szCs w:val="32"/>
          <w:highlight w:val="none"/>
          <w:shd w:val="clear" w:color="auto" w:fill="FFFFFF"/>
          <w:lang w:val="zh-CN" w:eastAsia="zh-CN"/>
        </w:rPr>
        <w:t>二、部门资金收支情况</w:t>
      </w:r>
    </w:p>
    <w:p w14:paraId="4CB35DEC">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文泉驿微米黑" w:hAnsi="文泉驿微米黑" w:eastAsia="仿宋_GB2312"/>
          <w:vanish w:val="0"/>
          <w:kern w:val="2"/>
          <w:sz w:val="32"/>
          <w:szCs w:val="32"/>
        </w:rPr>
      </w:pPr>
      <w:r>
        <w:rPr>
          <w:rFonts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eastAsia="仿宋_GB2312"/>
          <w:sz w:val="32"/>
          <w:szCs w:val="32"/>
          <w:lang w:val="en-US"/>
        </w:rPr>
        <w:t>2025年度一般公共预算财政拨款总收入30万元，</w:t>
      </w:r>
      <w:r>
        <w:rPr>
          <w:rFonts w:hint="eastAsia" w:ascii="Times New Roman" w:hAnsi="Times New Roman" w:eastAsia="仿宋_GB2312" w:cs="Times New Roman"/>
          <w:vanish w:val="0"/>
          <w:kern w:val="2"/>
          <w:sz w:val="32"/>
          <w:szCs w:val="32"/>
        </w:rPr>
        <w:t>决算报表收入</w:t>
      </w:r>
      <w:r>
        <w:rPr>
          <w:rFonts w:ascii="Times New Roman" w:hAnsi="Times New Roman" w:eastAsia="仿宋_GB2312" w:cs="Times New Roman"/>
          <w:vanish w:val="0"/>
          <w:kern w:val="2"/>
          <w:sz w:val="32"/>
          <w:szCs w:val="32"/>
        </w:rPr>
        <w:t>29.4</w:t>
      </w:r>
      <w:r>
        <w:rPr>
          <w:rFonts w:hint="eastAsia" w:ascii="仿宋_GB2312" w:eastAsia="仿宋_GB2312" w:cs="Times New Roman"/>
          <w:vanish w:val="0"/>
          <w:kern w:val="2"/>
          <w:sz w:val="32"/>
          <w:szCs w:val="32"/>
        </w:rPr>
        <w:t>万元，</w:t>
      </w:r>
      <w:r>
        <w:rPr>
          <w:rFonts w:hint="eastAsia" w:ascii="仿宋_GB2312" w:eastAsia="仿宋_GB2312"/>
          <w:vanish w:val="0"/>
          <w:kern w:val="2"/>
          <w:sz w:val="32"/>
          <w:szCs w:val="32"/>
        </w:rPr>
        <w:t>主要原因是</w:t>
      </w:r>
      <w:r>
        <w:rPr>
          <w:rFonts w:hint="eastAsia" w:ascii="Times New Roman" w:hAnsi="Times New Roman" w:eastAsia="仿宋_GB2312" w:cs="Times New Roman"/>
          <w:vanish w:val="0"/>
          <w:kern w:val="2"/>
          <w:sz w:val="32"/>
          <w:szCs w:val="32"/>
        </w:rPr>
        <w:t>节约采购资金</w:t>
      </w:r>
      <w:r>
        <w:rPr>
          <w:rFonts w:ascii="Times New Roman" w:hAnsi="Times New Roman" w:eastAsia="仿宋_GB2312" w:cs="Times New Roman"/>
          <w:vanish w:val="0"/>
          <w:kern w:val="2"/>
          <w:sz w:val="32"/>
          <w:szCs w:val="32"/>
        </w:rPr>
        <w:t>0.6</w:t>
      </w:r>
      <w:r>
        <w:rPr>
          <w:rFonts w:hint="eastAsia" w:ascii="仿宋_GB2312" w:eastAsia="仿宋_GB2312" w:cs="Times New Roman"/>
          <w:vanish w:val="0"/>
          <w:kern w:val="2"/>
          <w:sz w:val="32"/>
          <w:szCs w:val="32"/>
        </w:rPr>
        <w:t>万元</w:t>
      </w:r>
      <w:r>
        <w:rPr>
          <w:rFonts w:hint="eastAsia" w:ascii="仿宋_GB2312" w:eastAsia="仿宋_GB2312"/>
          <w:vanish w:val="0"/>
          <w:kern w:val="2"/>
          <w:sz w:val="32"/>
          <w:szCs w:val="32"/>
        </w:rPr>
        <w:t>。</w:t>
      </w:r>
    </w:p>
    <w:p w14:paraId="63408FC3">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eastAsia="仿宋_GB2312" w:cs="仿宋_GB2312"/>
          <w:sz w:val="32"/>
          <w:szCs w:val="32"/>
          <w:lang w:val="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ascii="Times New Roman" w:hAnsi="Times New Roman" w:eastAsia="楷体_GB2312" w:cs="Times New Roman"/>
          <w:b/>
          <w:bCs/>
          <w:color w:val="000000"/>
          <w:kern w:val="0"/>
          <w:sz w:val="32"/>
          <w:szCs w:val="32"/>
          <w:highlight w:val="none"/>
          <w:shd w:val="clear" w:color="auto" w:fill="FFFFFF"/>
          <w:lang w:val="zh-CN"/>
        </w:rPr>
        <w:t>。</w:t>
      </w:r>
      <w:r>
        <w:rPr>
          <w:rFonts w:eastAsia="仿宋_GB2312" w:cs="仿宋_GB2312"/>
          <w:sz w:val="32"/>
          <w:szCs w:val="32"/>
          <w:lang w:val="zh-CN"/>
        </w:rPr>
        <w:t>2025年度财政拨款总支出29.4万元，全部属于项目支出。</w:t>
      </w:r>
    </w:p>
    <w:p w14:paraId="6BB4A5D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仿宋_GB2312" w:cs="Times New Roman"/>
          <w:b w:val="0"/>
          <w:bCs w:val="0"/>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ascii="Times New Roman" w:hAnsi="Times New Roman" w:eastAsia="文泉驿微米黑" w:cs="Times New Roman"/>
          <w:sz w:val="32"/>
          <w:szCs w:val="32"/>
          <w:lang w:val="en-US" w:eastAsia="zh-CN"/>
        </w:rPr>
        <w:t>无</w:t>
      </w:r>
      <w:r>
        <w:rPr>
          <w:rFonts w:ascii="Times New Roman" w:hAnsi="Times New Roman" w:eastAsia="仿宋_GB2312" w:cs="Times New Roman"/>
          <w:sz w:val="32"/>
          <w:szCs w:val="32"/>
          <w:lang w:val="en-US" w:eastAsia="zh-CN"/>
        </w:rPr>
        <w:t>结转结余。</w:t>
      </w:r>
    </w:p>
    <w:p w14:paraId="3C1364B9">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lang w:val="zh-CN" w:eastAsia="zh-CN"/>
        </w:rPr>
      </w:pPr>
      <w:r>
        <w:rPr>
          <w:rFonts w:ascii="Times New Roman" w:hAnsi="Times New Roman" w:eastAsia="黑体" w:cs="Times New Roman"/>
          <w:color w:val="000000"/>
          <w:kern w:val="0"/>
          <w:sz w:val="32"/>
          <w:szCs w:val="32"/>
          <w:highlight w:val="none"/>
          <w:shd w:val="clear" w:color="auto" w:fill="FFFFFF"/>
          <w:lang w:val="zh-CN" w:eastAsia="zh-CN"/>
        </w:rPr>
        <w:t>三、部门预算绩效分析</w:t>
      </w:r>
    </w:p>
    <w:p w14:paraId="5292A38B">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ascii="Times New Roman" w:hAnsi="Times New Roman" w:eastAsia="楷体_GB2312" w:cs="Times New Roman"/>
          <w:b/>
          <w:bCs/>
          <w:color w:val="000000"/>
          <w:kern w:val="0"/>
          <w:sz w:val="32"/>
          <w:szCs w:val="32"/>
          <w:highlight w:val="none"/>
          <w:shd w:val="clear" w:color="auto" w:fill="FFFFFF"/>
          <w:lang w:val="zh-CN"/>
        </w:rPr>
        <w:t>总体绩效分析。</w:t>
      </w:r>
    </w:p>
    <w:p w14:paraId="6A73678E">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仿宋_GB2312" w:eastAsia="仿宋_GB2312"/>
          <w:b w:val="0"/>
          <w:bCs w:val="0"/>
          <w:kern w:val="2"/>
          <w:sz w:val="32"/>
          <w:szCs w:val="32"/>
          <w:lang w:val="zh-CN" w:eastAsia="zh-CN"/>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r>
        <w:rPr>
          <w:rFonts w:hint="eastAsia" w:ascii="仿宋_GB2312" w:eastAsia="仿宋_GB2312"/>
          <w:b w:val="0"/>
          <w:bCs w:val="0"/>
          <w:kern w:val="2"/>
          <w:sz w:val="32"/>
          <w:szCs w:val="32"/>
        </w:rPr>
        <w:t>部门整体绩效目标中</w:t>
      </w:r>
      <w:r>
        <w:rPr>
          <w:rFonts w:hint="eastAsia" w:ascii="Times New Roman" w:hAnsi="Times New Roman" w:eastAsia="仿宋_GB2312" w:cs="Times New Roman"/>
          <w:b w:val="0"/>
          <w:bCs w:val="0"/>
          <w:kern w:val="2"/>
          <w:sz w:val="32"/>
          <w:szCs w:val="32"/>
        </w:rPr>
        <w:t>指标值为：</w:t>
      </w:r>
      <w:r>
        <w:rPr>
          <w:rFonts w:ascii="Times New Roman" w:hAnsi="Times New Roman" w:eastAsia="文泉驿微米黑" w:cs="Times New Roman"/>
          <w:b w:val="0"/>
          <w:bCs w:val="0"/>
          <w:kern w:val="2"/>
          <w:sz w:val="32"/>
          <w:szCs w:val="32"/>
        </w:rPr>
        <w:t>开展高质量专题调研，考察调研次数</w:t>
      </w:r>
      <w:r>
        <w:rPr>
          <w:rFonts w:hint="eastAsia" w:ascii="Times New Roman" w:hAnsi="Times New Roman" w:eastAsia="仿宋_GB2312" w:cs="Times New Roman"/>
          <w:b w:val="0"/>
          <w:bCs w:val="0"/>
          <w:kern w:val="2"/>
          <w:sz w:val="32"/>
          <w:szCs w:val="32"/>
        </w:rPr>
        <w:t>≥</w:t>
      </w:r>
      <w:r>
        <w:rPr>
          <w:rFonts w:ascii="Times New Roman" w:hAnsi="Times New Roman" w:eastAsia="仿宋_GB2312" w:cs="Times New Roman"/>
          <w:b w:val="0"/>
          <w:bCs w:val="0"/>
          <w:kern w:val="2"/>
          <w:sz w:val="32"/>
          <w:szCs w:val="32"/>
        </w:rPr>
        <w:t>4</w:t>
      </w:r>
      <w:r>
        <w:rPr>
          <w:rFonts w:hint="eastAsia" w:ascii="仿宋_GB2312" w:eastAsia="仿宋_GB2312" w:cs="Times New Roman"/>
          <w:b w:val="0"/>
          <w:bCs w:val="0"/>
          <w:kern w:val="2"/>
          <w:sz w:val="32"/>
          <w:szCs w:val="32"/>
        </w:rPr>
        <w:t>次，</w:t>
      </w:r>
      <w:r>
        <w:rPr>
          <w:rFonts w:ascii="仿宋_GB2312" w:hAnsi="仿宋_GB2312" w:eastAsia="文泉驿微米黑" w:cs="Times New Roman"/>
          <w:b w:val="0"/>
          <w:bCs w:val="0"/>
          <w:kern w:val="2"/>
          <w:sz w:val="32"/>
          <w:szCs w:val="32"/>
        </w:rPr>
        <w:t>主动参与重大时政问题研讨，积极报送提案和社情民意，建言献策个数</w:t>
      </w:r>
      <w:r>
        <w:rPr>
          <w:rFonts w:hint="eastAsia" w:ascii="Times New Roman" w:hAnsi="Times New Roman" w:eastAsia="仿宋_GB2312" w:cs="Times New Roman"/>
          <w:b w:val="0"/>
          <w:bCs w:val="0"/>
          <w:kern w:val="2"/>
          <w:sz w:val="32"/>
          <w:szCs w:val="32"/>
        </w:rPr>
        <w:t>≥</w:t>
      </w:r>
      <w:r>
        <w:rPr>
          <w:rFonts w:ascii="Times New Roman" w:hAnsi="Times New Roman" w:eastAsia="仿宋_GB2312" w:cs="Times New Roman"/>
          <w:b w:val="0"/>
          <w:bCs w:val="0"/>
          <w:kern w:val="2"/>
          <w:sz w:val="32"/>
          <w:szCs w:val="32"/>
        </w:rPr>
        <w:t>2</w:t>
      </w:r>
      <w:r>
        <w:rPr>
          <w:rFonts w:ascii="Times New Roman" w:hAnsi="Times New Roman" w:eastAsia="文泉驿微米黑" w:cs="Times New Roman"/>
          <w:b w:val="0"/>
          <w:bCs w:val="0"/>
          <w:kern w:val="2"/>
          <w:sz w:val="32"/>
          <w:szCs w:val="32"/>
        </w:rPr>
        <w:t>个，提供法律服务，加强农民技术培训，助力乡村振兴。</w:t>
      </w:r>
      <w:r>
        <w:rPr>
          <w:rFonts w:hint="eastAsia" w:ascii="仿宋_GB2312" w:eastAsia="仿宋_GB2312"/>
          <w:b w:val="0"/>
          <w:bCs w:val="0"/>
          <w:kern w:val="2"/>
          <w:sz w:val="32"/>
          <w:szCs w:val="32"/>
        </w:rPr>
        <w:t>完成效果为：本年度圆满完成各项绩效目标。累计开展高质量专题调研</w:t>
      </w:r>
      <w:r>
        <w:rPr>
          <w:rFonts w:hint="eastAsia" w:ascii="仿宋_GB2312" w:eastAsia="仿宋_GB2312"/>
          <w:b w:val="0"/>
          <w:bCs w:val="0"/>
          <w:kern w:val="2"/>
          <w:sz w:val="32"/>
          <w:szCs w:val="32"/>
          <w:lang w:val="en-US" w:eastAsia="zh-CN"/>
        </w:rPr>
        <w:t>4</w:t>
      </w:r>
      <w:r>
        <w:rPr>
          <w:rFonts w:hint="eastAsia" w:ascii="仿宋_GB2312" w:eastAsia="仿宋_GB2312"/>
          <w:b w:val="0"/>
          <w:bCs w:val="0"/>
          <w:kern w:val="2"/>
          <w:sz w:val="32"/>
          <w:szCs w:val="32"/>
        </w:rPr>
        <w:t>次，形成《关于巴山肉牛产业融圈建链的建议》《关于全市内资企业涉法涉诉情况及建议</w:t>
      </w:r>
      <w:r>
        <w:rPr>
          <w:rFonts w:hint="eastAsia" w:ascii="仿宋_GB2312" w:eastAsia="仿宋_GB2312"/>
          <w:b w:val="0"/>
          <w:bCs w:val="0"/>
          <w:kern w:val="2"/>
          <w:sz w:val="32"/>
          <w:szCs w:val="32"/>
          <w:lang w:eastAsia="zh-CN"/>
        </w:rPr>
        <w:t>》等</w:t>
      </w:r>
      <w:r>
        <w:rPr>
          <w:rFonts w:hint="eastAsia" w:ascii="仿宋_GB2312" w:eastAsia="仿宋_GB2312"/>
          <w:b w:val="0"/>
          <w:bCs w:val="0"/>
          <w:kern w:val="2"/>
          <w:sz w:val="32"/>
          <w:szCs w:val="32"/>
        </w:rPr>
        <w:t>调研报告。积极参政议政，提交《让文物“活”起来 为文化强市赋能》《关于整合优化基层政务APP的建议》提案，其中1件列为市政协重点提案，相关建议转化为党政工作举措。常态化开展普法宣传、法律援助、纠纷调解、企业法治体检等法律服务。组织农业专家赴通江县开展动物疫病防控技能培训，建立长效帮扶机制，扎实开展农技培训，有效助力乡村振兴发展。</w:t>
      </w:r>
    </w:p>
    <w:p w14:paraId="2F5FCDE5">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rPr>
          <w:rFonts w:hint="eastAsia" w:ascii="仿宋_GB2312" w:eastAsia="仿宋_GB2312" w:cs="宋体"/>
          <w:color w:val="000000"/>
          <w:kern w:val="0"/>
          <w:sz w:val="32"/>
          <w:szCs w:val="32"/>
          <w:shd w:val="clear" w:color="auto" w:fill="FFFFFF"/>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eastAsia="仿宋_GB2312" w:cs="宋体"/>
          <w:color w:val="000000"/>
          <w:kern w:val="0"/>
          <w:sz w:val="32"/>
          <w:szCs w:val="32"/>
          <w:shd w:val="clear" w:color="auto" w:fill="FFFFFF"/>
          <w:lang w:val="zh-CN" w:eastAsia="zh-CN" w:bidi="ar-SA"/>
        </w:rPr>
        <w:t>本</w:t>
      </w:r>
      <w:r>
        <w:rPr>
          <w:rFonts w:hint="eastAsia" w:ascii="仿宋_GB2312" w:eastAsia="仿宋_GB2312" w:cs="宋体"/>
          <w:color w:val="000000"/>
          <w:kern w:val="0"/>
          <w:sz w:val="32"/>
          <w:szCs w:val="32"/>
          <w:shd w:val="clear" w:color="auto" w:fill="FFFFFF"/>
          <w:lang w:val="en-US" w:eastAsia="zh-CN" w:bidi="ar-SA"/>
        </w:rPr>
        <w:t>单位</w:t>
      </w:r>
      <w:r>
        <w:rPr>
          <w:rFonts w:hint="eastAsia" w:ascii="仿宋_GB2312" w:eastAsia="仿宋_GB2312" w:cs="宋体"/>
          <w:color w:val="000000"/>
          <w:kern w:val="0"/>
          <w:sz w:val="32"/>
          <w:szCs w:val="32"/>
          <w:shd w:val="clear" w:color="auto" w:fill="FFFFFF"/>
          <w:lang w:val="zh-CN" w:eastAsia="zh-CN" w:bidi="ar-SA"/>
        </w:rPr>
        <w:t>将绩效管理融入财政资金管理的全过程，实现绩效目标审核与部门预算编制相结合，绩效评价结果与预算资金安排相结合，确保了预算编制的科学性、合理性，同时也保证了绩效目标填报的完整性和可行性。通过明确数据来源，对数据的完整性、准确性进行审核；公开绩效考核结果，强化监督；鼓励对不合理考核进行申诉等方式确保目标绩效的规范性以及绩效评价的客观性和公正性。</w:t>
      </w:r>
    </w:p>
    <w:p w14:paraId="77D34C07">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文泉驿微米黑" w:hAnsi="文泉驿微米黑" w:eastAsia="仿宋_GB2312" w:cs="Times New Roman"/>
          <w:sz w:val="32"/>
          <w:szCs w:val="32"/>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仿宋_GB2312" w:eastAsia="仿宋_GB2312" w:cs="Times New Roman"/>
          <w:sz w:val="32"/>
          <w:szCs w:val="32"/>
          <w:lang w:val="en-US" w:eastAsia="zh-CN" w:bidi="ar-SA"/>
        </w:rPr>
        <w:t>严格按照批复的部门预算安排支出，合理规划、统筹安排本单位各项重点工作任务，加强支出进度管理，提高部门预算执行的均衡性和时效性。</w:t>
      </w:r>
    </w:p>
    <w:p w14:paraId="513DD05C">
      <w:pPr>
        <w:adjustRightInd w:val="0"/>
        <w:spacing w:line="576" w:lineRule="exact"/>
        <w:ind w:firstLine="640" w:firstLineChars="200"/>
        <w:contextualSpacing/>
        <w:jc w:val="left"/>
        <w:rPr>
          <w:rFonts w:ascii="Times New Roman" w:hAnsi="Times New Roman" w:eastAsia="仿宋_GB2312" w:cs="Times New Roman"/>
          <w:kern w:val="0"/>
          <w:sz w:val="32"/>
          <w:szCs w:val="32"/>
        </w:rPr>
      </w:pPr>
      <w:r>
        <w:rPr>
          <w:rFonts w:hint="eastAsia" w:ascii="Times New Roman" w:hAnsi="Times New Roman" w:eastAsia="仿宋_GB2312" w:cs="仿宋_GB2312"/>
          <w:color w:val="auto"/>
          <w:kern w:val="2"/>
          <w:sz w:val="32"/>
          <w:szCs w:val="32"/>
          <w:highlight w:val="none"/>
          <w:lang w:val="en-US" w:eastAsia="zh-CN" w:bidi="ar-SA"/>
        </w:rPr>
        <w:t>4.</w:t>
      </w:r>
      <w:r>
        <w:rPr>
          <w:rFonts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r>
        <w:rPr>
          <w:rFonts w:ascii="Times New Roman" w:hAnsi="Times New Roman" w:eastAsia="仿宋_GB2312" w:cs="Times New Roman"/>
          <w:kern w:val="0"/>
          <w:sz w:val="32"/>
          <w:szCs w:val="32"/>
        </w:rPr>
        <w:t>根据《行政单位国有资产管理暂行办法》《巴中市市级行政事业单位国有资产管理办法（试行）》等规定，对</w:t>
      </w:r>
      <w:r>
        <w:rPr>
          <w:rFonts w:ascii="Times New Roman" w:hAnsi="Times New Roman" w:eastAsia="文泉驿微米黑" w:cs="Times New Roman"/>
          <w:kern w:val="0"/>
          <w:sz w:val="32"/>
          <w:szCs w:val="32"/>
        </w:rPr>
        <w:t>本</w:t>
      </w:r>
      <w:r>
        <w:rPr>
          <w:rFonts w:ascii="Times New Roman" w:hAnsi="Times New Roman" w:eastAsia="仿宋_GB2312" w:cs="Times New Roman"/>
          <w:kern w:val="0"/>
          <w:sz w:val="32"/>
          <w:szCs w:val="32"/>
        </w:rPr>
        <w:t>单位国有资产使用情况进行了清理，</w:t>
      </w:r>
      <w:r>
        <w:rPr>
          <w:rFonts w:hint="eastAsia" w:ascii="Times New Roman" w:hAnsi="Times New Roman" w:eastAsia="仿宋_GB2312" w:cs="Times New Roman"/>
          <w:kern w:val="0"/>
          <w:sz w:val="32"/>
          <w:szCs w:val="32"/>
          <w:lang w:eastAsia="zh-CN"/>
        </w:rPr>
        <w:t>并报财政进行审批</w:t>
      </w:r>
      <w:r>
        <w:rPr>
          <w:rFonts w:ascii="Times New Roman" w:hAnsi="Times New Roman" w:eastAsia="仿宋_GB2312" w:cs="Times New Roman"/>
          <w:kern w:val="0"/>
          <w:sz w:val="32"/>
          <w:szCs w:val="32"/>
        </w:rPr>
        <w:t>。</w:t>
      </w:r>
      <w:r>
        <w:rPr>
          <w:rFonts w:ascii="Times New Roman" w:hAnsi="Times New Roman" w:eastAsia="文泉驿微米黑" w:cs="Times New Roman"/>
          <w:kern w:val="0"/>
          <w:sz w:val="32"/>
          <w:szCs w:val="32"/>
        </w:rPr>
        <w:t>按照</w:t>
      </w:r>
      <w:r>
        <w:rPr>
          <w:rFonts w:ascii="Times New Roman" w:hAnsi="Times New Roman" w:eastAsia="仿宋_GB2312" w:cs="Times New Roman"/>
          <w:kern w:val="0"/>
          <w:sz w:val="32"/>
          <w:szCs w:val="32"/>
        </w:rPr>
        <w:t>会计制度的相关规定做好了账务调整及在“行政事业单位资产管理信息系统”中做好资产处置信息录入，以提高资产的利用率。</w:t>
      </w:r>
    </w:p>
    <w:p w14:paraId="76EAC705">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Times New Roman"/>
          <w:kern w:val="2"/>
          <w:sz w:val="32"/>
          <w:szCs w:val="32"/>
        </w:rPr>
        <w:t>严格按照采购预算项目，助力优化营商环境，在保障机关运行等支出事项中，以支持中小企业为主</w:t>
      </w:r>
      <w:r>
        <w:rPr>
          <w:rFonts w:ascii="Times New Roman" w:hAnsi="Times New Roman" w:eastAsia="文泉驿微米黑" w:cs="Times New Roman"/>
          <w:kern w:val="2"/>
          <w:sz w:val="32"/>
          <w:szCs w:val="32"/>
        </w:rPr>
        <w:t>。</w:t>
      </w:r>
    </w:p>
    <w:p w14:paraId="78395BB3">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ascii="Times New Roman" w:hAnsi="Times New Roman" w:eastAsia="楷体_GB2312" w:cs="Times New Roman"/>
          <w:b/>
          <w:bCs/>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1701012F">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ascii="Times New Roman" w:hAnsi="Times New Roman" w:eastAsia="仿宋_GB2312" w:cs="仿宋_GB2312"/>
          <w:color w:val="auto"/>
          <w:kern w:val="2"/>
          <w:sz w:val="32"/>
          <w:szCs w:val="32"/>
          <w:highlight w:val="none"/>
          <w:lang w:val="zh-CN" w:eastAsia="zh-CN" w:bidi="ar-SA"/>
        </w:rPr>
      </w:pPr>
      <w:r>
        <w:rPr>
          <w:rFonts w:ascii="Times New Roman" w:hAnsi="Times New Roman" w:eastAsia="仿宋_GB2312" w:cs="仿宋_GB2312"/>
          <w:color w:val="auto"/>
          <w:kern w:val="2"/>
          <w:sz w:val="32"/>
          <w:szCs w:val="32"/>
          <w:highlight w:val="none"/>
          <w:lang w:val="en-US" w:eastAsia="zh-CN" w:bidi="ar-SA"/>
        </w:rPr>
        <w:t>常年项目绩效分析。</w:t>
      </w:r>
      <w:r>
        <w:rPr>
          <w:rFonts w:ascii="Times New Roman" w:hAnsi="Times New Roman" w:eastAsia="仿宋_GB2312" w:cs="仿宋_GB2312"/>
          <w:color w:val="auto"/>
          <w:kern w:val="2"/>
          <w:sz w:val="32"/>
          <w:szCs w:val="32"/>
          <w:highlight w:val="none"/>
          <w:lang w:val="zh-CN" w:eastAsia="zh-CN" w:bidi="ar-SA"/>
        </w:rPr>
        <w:t>该类项目总数</w:t>
      </w:r>
      <w:r>
        <w:rPr>
          <w:rFonts w:ascii="Times New Roman" w:hAnsi="Times New Roman" w:eastAsia="仿宋_GB2312" w:cs="仿宋_GB2312"/>
          <w:color w:val="auto"/>
          <w:kern w:val="2"/>
          <w:sz w:val="32"/>
          <w:szCs w:val="32"/>
          <w:highlight w:val="none"/>
          <w:lang w:val="en-US" w:eastAsia="zh-CN" w:bidi="ar-SA"/>
        </w:rPr>
        <w:t>1</w:t>
      </w:r>
      <w:r>
        <w:rPr>
          <w:rFonts w:ascii="Times New Roman" w:hAnsi="Times New Roman" w:eastAsia="仿宋_GB2312" w:cs="仿宋_GB2312"/>
          <w:color w:val="auto"/>
          <w:kern w:val="2"/>
          <w:sz w:val="32"/>
          <w:szCs w:val="32"/>
          <w:highlight w:val="none"/>
          <w:lang w:val="zh-CN" w:eastAsia="zh-CN" w:bidi="ar-SA"/>
        </w:rPr>
        <w:t>个，涉及预算总金额</w:t>
      </w:r>
      <w:r>
        <w:rPr>
          <w:rFonts w:ascii="Times New Roman" w:hAnsi="Times New Roman" w:eastAsia="仿宋_GB2312" w:cs="仿宋_GB2312"/>
          <w:color w:val="auto"/>
          <w:kern w:val="2"/>
          <w:sz w:val="32"/>
          <w:szCs w:val="32"/>
          <w:highlight w:val="none"/>
          <w:lang w:val="en-US" w:eastAsia="zh-CN" w:bidi="ar-SA"/>
        </w:rPr>
        <w:t>29.4</w:t>
      </w:r>
      <w:r>
        <w:rPr>
          <w:rFonts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ascii="Times New Roman" w:hAnsi="Times New Roman" w:eastAsia="仿宋_GB2312" w:cs="仿宋_GB2312"/>
          <w:color w:val="auto"/>
          <w:kern w:val="2"/>
          <w:sz w:val="32"/>
          <w:szCs w:val="32"/>
          <w:highlight w:val="none"/>
          <w:lang w:val="zh-CN" w:eastAsia="zh-CN" w:bidi="ar-SA"/>
        </w:rPr>
        <w:t>1</w:t>
      </w:r>
      <w:r>
        <w:rPr>
          <w:rFonts w:ascii="Times New Roman" w:hAnsi="Times New Roman" w:eastAsia="仿宋_GB2312" w:cs="仿宋_GB2312"/>
          <w:color w:val="auto"/>
          <w:kern w:val="2"/>
          <w:sz w:val="32"/>
          <w:szCs w:val="32"/>
          <w:highlight w:val="none"/>
          <w:lang w:val="en-US" w:eastAsia="zh-CN" w:bidi="ar-SA"/>
        </w:rPr>
        <w:t>2</w:t>
      </w:r>
      <w:r>
        <w:rPr>
          <w:rFonts w:ascii="Times New Roman" w:hAnsi="Times New Roman" w:eastAsia="仿宋_GB2312" w:cs="仿宋_GB2312"/>
          <w:color w:val="auto"/>
          <w:kern w:val="2"/>
          <w:sz w:val="32"/>
          <w:szCs w:val="32"/>
          <w:highlight w:val="none"/>
          <w:lang w:val="zh-CN" w:eastAsia="zh-CN" w:bidi="ar-SA"/>
        </w:rPr>
        <w:t>月预算执行总体进度为</w:t>
      </w:r>
      <w:r>
        <w:rPr>
          <w:rFonts w:ascii="Times New Roman" w:hAnsi="Times New Roman" w:eastAsia="仿宋_GB2312" w:cs="仿宋_GB2312"/>
          <w:color w:val="auto"/>
          <w:kern w:val="2"/>
          <w:sz w:val="32"/>
          <w:szCs w:val="32"/>
          <w:highlight w:val="none"/>
          <w:lang w:val="en-US" w:eastAsia="zh-CN" w:bidi="ar-SA"/>
        </w:rPr>
        <w:t>100</w:t>
      </w:r>
      <w:r>
        <w:rPr>
          <w:rFonts w:ascii="Times New Roman" w:hAnsi="Times New Roman" w:eastAsia="仿宋_GB2312" w:cs="仿宋_GB2312"/>
          <w:color w:val="auto"/>
          <w:kern w:val="2"/>
          <w:sz w:val="32"/>
          <w:szCs w:val="32"/>
          <w:highlight w:val="none"/>
          <w:lang w:val="zh-CN" w:eastAsia="zh-CN" w:bidi="ar-SA"/>
        </w:rPr>
        <w:t>%，其中：预算结余率大于</w:t>
      </w:r>
      <w:r>
        <w:rPr>
          <w:rFonts w:ascii="Times New Roman" w:hAnsi="Times New Roman" w:eastAsia="仿宋_GB2312" w:cs="仿宋_GB2312"/>
          <w:color w:val="auto"/>
          <w:kern w:val="2"/>
          <w:sz w:val="32"/>
          <w:szCs w:val="32"/>
          <w:highlight w:val="none"/>
          <w:lang w:val="en-US" w:eastAsia="zh-CN" w:bidi="ar-SA"/>
        </w:rPr>
        <w:t>10%</w:t>
      </w:r>
      <w:r>
        <w:rPr>
          <w:rFonts w:ascii="Times New Roman" w:hAnsi="Times New Roman" w:eastAsia="仿宋_GB2312" w:cs="仿宋_GB2312"/>
          <w:color w:val="auto"/>
          <w:kern w:val="2"/>
          <w:sz w:val="32"/>
          <w:szCs w:val="32"/>
          <w:highlight w:val="none"/>
          <w:lang w:val="zh-CN" w:eastAsia="zh-CN" w:bidi="ar-SA"/>
        </w:rPr>
        <w:t>的项目共计</w:t>
      </w:r>
      <w:r>
        <w:rPr>
          <w:rFonts w:ascii="Times New Roman" w:hAnsi="Times New Roman" w:eastAsia="仿宋_GB2312" w:cs="仿宋_GB2312"/>
          <w:color w:val="auto"/>
          <w:kern w:val="2"/>
          <w:sz w:val="32"/>
          <w:szCs w:val="32"/>
          <w:highlight w:val="none"/>
          <w:lang w:val="en-US" w:eastAsia="zh-CN" w:bidi="ar-SA"/>
        </w:rPr>
        <w:t>0</w:t>
      </w:r>
      <w:r>
        <w:rPr>
          <w:rFonts w:ascii="Times New Roman" w:hAnsi="Times New Roman" w:eastAsia="仿宋_GB2312" w:cs="仿宋_GB2312"/>
          <w:color w:val="auto"/>
          <w:kern w:val="2"/>
          <w:sz w:val="32"/>
          <w:szCs w:val="32"/>
          <w:highlight w:val="none"/>
          <w:lang w:val="zh-CN" w:eastAsia="zh-CN" w:bidi="ar-SA"/>
        </w:rPr>
        <w:t>个。</w:t>
      </w:r>
    </w:p>
    <w:p w14:paraId="66B5D77A">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ascii="Times New Roman" w:hAnsi="Times New Roman" w:eastAsia="仿宋_GB2312"/>
          <w:kern w:val="0"/>
          <w:sz w:val="32"/>
          <w:szCs w:val="32"/>
        </w:rPr>
        <w:t>召集支部</w:t>
      </w:r>
      <w:r>
        <w:rPr>
          <w:rFonts w:hint="eastAsia" w:ascii="Times New Roman" w:hAnsi="Times New Roman" w:eastAsia="仿宋_GB2312"/>
          <w:kern w:val="0"/>
          <w:sz w:val="32"/>
          <w:szCs w:val="32"/>
          <w:lang w:eastAsia="zh-CN"/>
        </w:rPr>
        <w:t>各分管</w:t>
      </w:r>
      <w:r>
        <w:rPr>
          <w:rFonts w:ascii="Times New Roman" w:hAnsi="Times New Roman" w:eastAsia="仿宋_GB2312"/>
          <w:kern w:val="0"/>
          <w:sz w:val="32"/>
          <w:szCs w:val="32"/>
        </w:rPr>
        <w:t>负责人，专题研究讨论申报财政项目和绩效目标相关事宜，严格按照《202</w:t>
      </w:r>
      <w:r>
        <w:rPr>
          <w:rFonts w:hint="eastAsia" w:ascii="Times New Roman" w:hAnsi="Times New Roman" w:eastAsia="仿宋_GB2312"/>
          <w:kern w:val="0"/>
          <w:sz w:val="32"/>
          <w:szCs w:val="32"/>
          <w:lang w:val="en-US" w:eastAsia="zh-CN"/>
        </w:rPr>
        <w:t>5</w:t>
      </w:r>
      <w:r>
        <w:rPr>
          <w:rFonts w:ascii="Times New Roman" w:hAnsi="Times New Roman" w:eastAsia="仿宋_GB2312"/>
          <w:kern w:val="0"/>
          <w:sz w:val="32"/>
          <w:szCs w:val="32"/>
        </w:rPr>
        <w:t>年市级一般公共预算及部门预算编制办法》确定的原则、口径如实编报202</w:t>
      </w:r>
      <w:r>
        <w:rPr>
          <w:rFonts w:hint="eastAsia" w:ascii="Times New Roman" w:hAnsi="Times New Roman" w:eastAsia="仿宋_GB2312"/>
          <w:kern w:val="0"/>
          <w:sz w:val="32"/>
          <w:szCs w:val="32"/>
          <w:lang w:val="en-US" w:eastAsia="zh-CN"/>
        </w:rPr>
        <w:t>5</w:t>
      </w:r>
      <w:r>
        <w:rPr>
          <w:rFonts w:ascii="Times New Roman" w:hAnsi="Times New Roman" w:eastAsia="仿宋_GB2312"/>
          <w:kern w:val="0"/>
          <w:sz w:val="32"/>
          <w:szCs w:val="32"/>
        </w:rPr>
        <w:t>年部门预算，预算项目经</w:t>
      </w:r>
      <w:r>
        <w:rPr>
          <w:rFonts w:hint="eastAsia" w:ascii="Times New Roman" w:hAnsi="Times New Roman" w:eastAsia="仿宋_GB2312"/>
          <w:kern w:val="0"/>
          <w:sz w:val="32"/>
          <w:szCs w:val="32"/>
          <w:lang w:eastAsia="zh-CN"/>
        </w:rPr>
        <w:t>支部主委会</w:t>
      </w:r>
      <w:r>
        <w:rPr>
          <w:rFonts w:ascii="Times New Roman" w:hAnsi="Times New Roman" w:eastAsia="仿宋_GB2312"/>
          <w:kern w:val="0"/>
          <w:sz w:val="32"/>
          <w:szCs w:val="32"/>
        </w:rPr>
        <w:t>审议后报送市财政局审批。</w:t>
      </w:r>
    </w:p>
    <w:p w14:paraId="2C7C7CA6">
      <w:pPr>
        <w:adjustRightInd w:val="0"/>
        <w:spacing w:line="576" w:lineRule="exact"/>
        <w:ind w:firstLine="640" w:firstLineChars="200"/>
        <w:contextualSpacing/>
        <w:jc w:val="left"/>
        <w:rPr>
          <w:rFonts w:ascii="Times New Roman" w:hAnsi="Times New Roman"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ascii="Times New Roman" w:hAnsi="Times New Roman" w:eastAsia="仿宋_GB2312"/>
          <w:sz w:val="32"/>
          <w:szCs w:val="32"/>
        </w:rPr>
        <w:t>在年度执行中，严格按照批复的部门预算安排支出，合理规划、统筹安排本部门（单位）各项重点工作任务，加强支出进度管理，提高部门预算执行的均衡性和时效性，确保资金使用绩效，各项工作有序推进。</w:t>
      </w:r>
    </w:p>
    <w:p w14:paraId="158C7BD8">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目标实现。围绕目标完成、目标偏离、实现效果</w:t>
      </w:r>
      <w:r>
        <w:rPr>
          <w:rFonts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780C401A">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ascii="Times New Roman" w:hAnsi="Times New Roman" w:eastAsia="仿宋_GB2312" w:cs="仿宋_GB2312"/>
          <w:color w:val="auto"/>
          <w:kern w:val="2"/>
          <w:sz w:val="32"/>
          <w:szCs w:val="32"/>
          <w:highlight w:val="none"/>
          <w:lang w:val="en-US" w:eastAsia="zh-CN" w:bidi="ar-SA"/>
        </w:rPr>
      </w:pPr>
      <w:r>
        <w:rPr>
          <w:rFonts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ascii="Times New Roman" w:hAnsi="Times New Roman" w:eastAsia="仿宋_GB2312"/>
          <w:kern w:val="0"/>
          <w:sz w:val="32"/>
          <w:szCs w:val="32"/>
        </w:rPr>
        <w:t>根据全面推进预算绩效管理实施方案总体部署和有关要求，进一步完善全方位、全过程、全覆盖预算绩效管理体系，坚持经费预算和资金绩效一体化管理，强化财政资金使用效益、政策实施效果和部门整体预算绩效管理。按照《巴中市预决算公开操作规程》有关规定，认真做好预算信息公开工作，主动向社会公开本部门的年度预算信息、“三公”经费预算信息、政府采购预算和绩效目标信息，主动接受社会公众监督。强化预算绩效运行跟踪监控，切实组织开展部门预算支出绩效自评和重点绩效评价，及时动态调整预算绩效目标执行过程的偏差，努力提高资金使用效益。</w:t>
      </w:r>
    </w:p>
    <w:p w14:paraId="27D814F1">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lang w:val="zh-CN"/>
        </w:rPr>
      </w:pPr>
      <w:r>
        <w:rPr>
          <w:rFonts w:ascii="Times New Roman" w:hAnsi="Times New Roman" w:eastAsia="黑体" w:cs="Times New Roman"/>
          <w:color w:val="000000"/>
          <w:kern w:val="0"/>
          <w:sz w:val="32"/>
          <w:szCs w:val="32"/>
          <w:highlight w:val="none"/>
          <w:shd w:val="clear" w:color="auto" w:fill="FFFFFF"/>
          <w:lang w:val="zh-CN" w:eastAsia="zh-CN"/>
        </w:rPr>
        <w:t>四、</w:t>
      </w:r>
      <w:r>
        <w:rPr>
          <w:rFonts w:ascii="Times New Roman" w:hAnsi="Times New Roman" w:eastAsia="黑体" w:cs="Times New Roman"/>
          <w:color w:val="000000"/>
          <w:kern w:val="0"/>
          <w:sz w:val="32"/>
          <w:szCs w:val="32"/>
          <w:highlight w:val="none"/>
          <w:shd w:val="clear" w:color="auto" w:fill="FFFFFF"/>
          <w:lang w:val="zh-CN"/>
        </w:rPr>
        <w:t>评价结论及建议</w:t>
      </w:r>
    </w:p>
    <w:p w14:paraId="7AAB1CE5">
      <w:pPr>
        <w:adjustRightInd w:val="0"/>
        <w:spacing w:line="576" w:lineRule="exact"/>
        <w:ind w:firstLine="720"/>
        <w:rPr>
          <w:rFonts w:ascii="Times New Roman" w:hAnsi="Times New Roman" w:eastAsia="仿宋_GB2312"/>
          <w:kern w:val="0"/>
          <w:sz w:val="32"/>
          <w:szCs w:val="32"/>
          <w:lang w:val="zh-CN"/>
        </w:rPr>
      </w:pPr>
      <w:r>
        <w:rPr>
          <w:rFonts w:ascii="Times New Roman" w:hAnsi="Times New Roman" w:eastAsia="楷体_GB2312" w:cs="Times New Roman"/>
          <w:b/>
          <w:bCs/>
          <w:color w:val="000000"/>
          <w:kern w:val="0"/>
          <w:sz w:val="32"/>
          <w:szCs w:val="32"/>
          <w:highlight w:val="none"/>
          <w:shd w:val="clear" w:color="auto" w:fill="FFFFFF"/>
          <w:lang w:val="zh-CN"/>
        </w:rPr>
        <w:t>（一）评价结论。</w:t>
      </w:r>
      <w:r>
        <w:rPr>
          <w:rFonts w:ascii="Times New Roman" w:hAnsi="Times New Roman" w:eastAsia="仿宋_GB2312"/>
          <w:kern w:val="0"/>
          <w:sz w:val="32"/>
          <w:szCs w:val="32"/>
        </w:rPr>
        <w:t>经过自评，我单位202</w:t>
      </w:r>
      <w:r>
        <w:rPr>
          <w:rFonts w:hint="eastAsia" w:ascii="Times New Roman" w:hAnsi="Times New Roman" w:eastAsia="仿宋_GB2312"/>
          <w:kern w:val="0"/>
          <w:sz w:val="32"/>
          <w:szCs w:val="32"/>
          <w:lang w:val="en-US" w:eastAsia="zh-CN"/>
        </w:rPr>
        <w:t>5</w:t>
      </w:r>
      <w:r>
        <w:rPr>
          <w:rFonts w:ascii="Times New Roman" w:hAnsi="Times New Roman" w:eastAsia="仿宋_GB2312"/>
          <w:kern w:val="0"/>
          <w:sz w:val="32"/>
          <w:szCs w:val="32"/>
        </w:rPr>
        <w:t>年度部门整体支出绩效评价得分为100分，其中：履职效能19分、预算管理21分、财务管理10分、资产管理9分、采购管理6分、项目支出绩效管理35分。</w:t>
      </w:r>
    </w:p>
    <w:p w14:paraId="4FAB0158">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ascii="Times New Roman" w:hAnsi="Times New Roman" w:eastAsia="仿宋_GB2312" w:cs="Times New Roman"/>
          <w:color w:val="auto"/>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Times New Roman"/>
          <w:color w:val="auto"/>
          <w:sz w:val="32"/>
          <w:szCs w:val="32"/>
          <w:lang w:val="en-US" w:eastAsia="zh-CN"/>
        </w:rPr>
        <w:t>绩效目标编制有待进一步完善。在编制绩效目标时</w:t>
      </w:r>
      <w:r>
        <w:rPr>
          <w:rFonts w:ascii="Times New Roman" w:hAnsi="Times New Roman" w:eastAsia="文泉驿微米黑" w:cs="Times New Roman"/>
          <w:color w:val="auto"/>
          <w:sz w:val="32"/>
          <w:szCs w:val="32"/>
          <w:lang w:val="en-US" w:eastAsia="zh-CN"/>
        </w:rPr>
        <w:t>个别</w:t>
      </w:r>
      <w:r>
        <w:rPr>
          <w:rFonts w:hint="eastAsia" w:ascii="Times New Roman" w:hAnsi="Times New Roman" w:eastAsia="仿宋_GB2312" w:cs="Times New Roman"/>
          <w:color w:val="auto"/>
          <w:sz w:val="32"/>
          <w:szCs w:val="32"/>
          <w:lang w:val="en-US" w:eastAsia="zh-CN"/>
        </w:rPr>
        <w:t>绩效指标</w:t>
      </w:r>
      <w:r>
        <w:rPr>
          <w:rFonts w:ascii="Times New Roman" w:hAnsi="Times New Roman" w:eastAsia="文泉驿微米黑" w:cs="Times New Roman"/>
          <w:color w:val="auto"/>
          <w:sz w:val="32"/>
          <w:szCs w:val="32"/>
          <w:lang w:val="en-US" w:eastAsia="zh-CN"/>
        </w:rPr>
        <w:t>未</w:t>
      </w:r>
      <w:r>
        <w:rPr>
          <w:rFonts w:hint="eastAsia" w:ascii="Times New Roman" w:hAnsi="Times New Roman" w:eastAsia="仿宋_GB2312" w:cs="Times New Roman"/>
          <w:color w:val="auto"/>
          <w:sz w:val="32"/>
          <w:szCs w:val="32"/>
          <w:lang w:val="en-US" w:eastAsia="zh-CN"/>
        </w:rPr>
        <w:t>量化，</w:t>
      </w:r>
      <w:r>
        <w:rPr>
          <w:rFonts w:ascii="Times New Roman" w:hAnsi="Times New Roman" w:eastAsia="文泉驿微米黑" w:cs="Times New Roman"/>
          <w:color w:val="auto"/>
          <w:sz w:val="32"/>
          <w:szCs w:val="32"/>
          <w:lang w:val="en-US" w:eastAsia="zh-CN"/>
        </w:rPr>
        <w:t>无</w:t>
      </w:r>
      <w:r>
        <w:rPr>
          <w:rFonts w:hint="eastAsia" w:ascii="Times New Roman" w:hAnsi="Times New Roman" w:eastAsia="仿宋_GB2312" w:cs="Times New Roman"/>
          <w:color w:val="auto"/>
          <w:sz w:val="32"/>
          <w:szCs w:val="32"/>
          <w:lang w:val="en-US" w:eastAsia="zh-CN"/>
        </w:rPr>
        <w:t>具体可以衡量的绩效指标。</w:t>
      </w:r>
    </w:p>
    <w:p w14:paraId="3DCA618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eastAsia="zh-CN"/>
        </w:rPr>
      </w:pPr>
      <w:r>
        <w:rPr>
          <w:rFonts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ascii="Times New Roman" w:hAnsi="Times New Roman" w:eastAsia="仿宋_GB2312" w:cs="Times New Roman"/>
          <w:kern w:val="0"/>
          <w:position w:val="0"/>
          <w:sz w:val="32"/>
          <w:szCs w:val="32"/>
          <w:lang w:val="en-US" w:eastAsia="zh-CN" w:bidi="ar-SA"/>
        </w:rPr>
        <w:t>严格预算约束，强化预算执行，加强财政资金使用的全过程监管，确保项目资金专款专用，提高资金使用绩效。</w:t>
      </w:r>
      <w:bookmarkStart w:id="53" w:name="_Hlk110546638"/>
    </w:p>
    <w:bookmarkEnd w:id="53"/>
    <w:p w14:paraId="17F28D34">
      <w:pPr>
        <w:spacing w:line="576" w:lineRule="exact"/>
        <w:ind w:firstLine="640" w:firstLineChars="200"/>
        <w:rPr>
          <w:rFonts w:ascii="Times New Roman" w:hAnsi="Times New Roman" w:eastAsia="方正仿宋_GBK"/>
          <w:sz w:val="32"/>
          <w:szCs w:val="32"/>
        </w:rPr>
      </w:pPr>
      <w:r>
        <w:rPr>
          <w:rFonts w:hint="eastAsia" w:ascii="Times New Roman" w:hAnsi="Times New Roman" w:eastAsia="仿宋_GB2312" w:cs="Times New Roman"/>
          <w:kern w:val="2"/>
          <w:sz w:val="32"/>
          <w:szCs w:val="32"/>
          <w:u w:val="none"/>
          <w:lang w:val="zh-CN" w:eastAsia="zh-CN"/>
        </w:rPr>
        <w:t>附表：</w:t>
      </w:r>
      <w:r>
        <w:rPr>
          <w:rFonts w:ascii="Times New Roman" w:hAnsi="Times New Roman" w:eastAsia="方正仿宋_GBK"/>
          <w:color w:val="000000"/>
          <w:kern w:val="0"/>
          <w:sz w:val="32"/>
          <w:szCs w:val="32"/>
          <w:shd w:val="clear" w:color="auto" w:fill="FFFFFF"/>
        </w:rPr>
        <w:t>1.</w:t>
      </w:r>
      <w:r>
        <w:rPr>
          <w:rFonts w:ascii="Times New Roman" w:hAnsi="Times New Roman" w:eastAsia="方正仿宋_GBK"/>
          <w:sz w:val="32"/>
          <w:szCs w:val="32"/>
        </w:rPr>
        <w:t>部门预算绩效自评打分表</w:t>
      </w:r>
    </w:p>
    <w:p w14:paraId="4EBEEC47">
      <w:pPr>
        <w:spacing w:line="576" w:lineRule="exact"/>
        <w:ind w:firstLine="1600" w:firstLineChars="500"/>
        <w:rPr>
          <w:rFonts w:eastAsia="方正仿宋_GBK"/>
          <w:color w:val="000000"/>
          <w:kern w:val="0"/>
          <w:sz w:val="32"/>
          <w:szCs w:val="32"/>
          <w:shd w:val="clear" w:color="auto" w:fill="FFFFFF"/>
        </w:rPr>
      </w:pPr>
      <w:r>
        <w:rPr>
          <w:rFonts w:ascii="Times New Roman" w:hAnsi="Times New Roman" w:eastAsia="方正仿宋_GBK"/>
          <w:sz w:val="32"/>
          <w:szCs w:val="32"/>
        </w:rPr>
        <w:t>2.</w:t>
      </w:r>
      <w:r>
        <w:rPr>
          <w:rFonts w:ascii="Times New Roman" w:hAnsi="Times New Roman" w:eastAsia="方正仿宋_GBK"/>
          <w:color w:val="000000"/>
          <w:kern w:val="0"/>
          <w:sz w:val="32"/>
          <w:szCs w:val="32"/>
          <w:shd w:val="clear" w:color="auto" w:fill="FFFFFF"/>
        </w:rPr>
        <w:t>部门整体绩效目标完成情况自评表</w:t>
      </w:r>
      <w:r>
        <w:rPr>
          <w:rFonts w:ascii="Times New Roman" w:hAnsi="Times New Roman" w:eastAsia="方正仿宋_GBK"/>
          <w:sz w:val="32"/>
          <w:szCs w:val="32"/>
        </w:rPr>
        <w:t>（202</w:t>
      </w:r>
      <w:r>
        <w:rPr>
          <w:rFonts w:hint="eastAsia" w:ascii="Times New Roman" w:hAnsi="Times New Roman" w:eastAsia="方正仿宋_GBK"/>
          <w:sz w:val="32"/>
          <w:szCs w:val="32"/>
          <w:lang w:val="en-US" w:eastAsia="zh-CN"/>
        </w:rPr>
        <w:t>5</w:t>
      </w:r>
      <w:r>
        <w:rPr>
          <w:rFonts w:ascii="Times New Roman" w:hAnsi="Times New Roman" w:eastAsia="方正仿宋_GBK"/>
          <w:sz w:val="32"/>
          <w:szCs w:val="32"/>
        </w:rPr>
        <w:t>年度）</w:t>
      </w:r>
    </w:p>
    <w:p w14:paraId="5DC29D8F">
      <w:pPr>
        <w:pStyle w:val="3"/>
        <w:keepNext w:val="0"/>
        <w:keepLines w:val="0"/>
        <w:pageBreakBefore w:val="0"/>
        <w:widowControl w:val="0"/>
        <w:kinsoku/>
        <w:wordWrap/>
        <w:overflowPunct/>
        <w:topLinePunct w:val="0"/>
        <w:autoSpaceDE/>
        <w:autoSpaceDN/>
        <w:bidi w:val="0"/>
        <w:spacing w:line="560" w:lineRule="exact"/>
        <w:ind w:left="0" w:leftChars="0" w:firstLine="420" w:firstLineChars="200"/>
        <w:textAlignment w:val="auto"/>
        <w:rPr>
          <w:rFonts w:hint="eastAsia" w:ascii="Times New Roman" w:hAnsi="Times New Roman" w:eastAsia="仿宋_GB2312" w:cs="Times New Roman"/>
          <w:kern w:val="2"/>
          <w:sz w:val="32"/>
          <w:szCs w:val="32"/>
          <w:u w:val="none"/>
          <w:lang w:val="zh-CN" w:eastAsia="zh-CN"/>
        </w:rPr>
      </w:pPr>
      <w:r>
        <w:rPr>
          <w:rFonts w:ascii="Times New Roman" w:hAnsi="Times New Roman"/>
          <w:color w:val="000000"/>
          <w:kern w:val="0"/>
          <w:szCs w:val="32"/>
          <w:shd w:val="clear" w:color="auto" w:fill="FFFFFF"/>
        </w:rPr>
        <w:br w:type="page"/>
      </w:r>
    </w:p>
    <w:p w14:paraId="7417275C">
      <w:pPr>
        <w:spacing w:line="578" w:lineRule="exact"/>
        <w:jc w:val="left"/>
        <w:rPr>
          <w:rFonts w:ascii="Times New Roman" w:hAnsi="Times New Roman" w:eastAsia="黑体"/>
          <w:sz w:val="32"/>
        </w:rPr>
      </w:pPr>
      <w:r>
        <w:rPr>
          <w:rFonts w:ascii="Times New Roman" w:hAnsi="Times New Roman" w:eastAsia="黑体"/>
          <w:sz w:val="32"/>
        </w:rPr>
        <w:t>表1</w:t>
      </w:r>
    </w:p>
    <w:p w14:paraId="4FF48744">
      <w:pPr>
        <w:widowControl/>
        <w:spacing w:line="600" w:lineRule="exact"/>
        <w:jc w:val="center"/>
        <w:textAlignment w:val="center"/>
        <w:rPr>
          <w:rFonts w:ascii="Times New Roman" w:hAnsi="Times New Roman" w:eastAsia="方正小标宋简体"/>
          <w:color w:val="000000"/>
          <w:kern w:val="0"/>
          <w:sz w:val="40"/>
          <w:szCs w:val="40"/>
        </w:rPr>
      </w:pPr>
      <w:r>
        <w:rPr>
          <w:rFonts w:ascii="Times New Roman" w:hAnsi="Times New Roman" w:eastAsia="方正小标宋简体"/>
          <w:color w:val="000000"/>
          <w:kern w:val="0"/>
          <w:sz w:val="40"/>
          <w:szCs w:val="40"/>
        </w:rPr>
        <w:t>部门预算绩效自评打分表</w:t>
      </w:r>
    </w:p>
    <w:tbl>
      <w:tblPr>
        <w:tblStyle w:val="15"/>
        <w:tblW w:w="1022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4"/>
        <w:gridCol w:w="1083"/>
        <w:gridCol w:w="2057"/>
        <w:gridCol w:w="709"/>
        <w:gridCol w:w="4345"/>
        <w:gridCol w:w="690"/>
        <w:gridCol w:w="470"/>
      </w:tblGrid>
      <w:tr w14:paraId="01C07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723" w:type="dxa"/>
            <w:gridSpan w:val="4"/>
            <w:tcBorders>
              <w:top w:val="single" w:color="000000" w:sz="4" w:space="0"/>
              <w:left w:val="single" w:color="000000" w:sz="4" w:space="0"/>
              <w:bottom w:val="single" w:color="000000" w:sz="4" w:space="0"/>
              <w:right w:val="single" w:color="000000" w:sz="4" w:space="0"/>
            </w:tcBorders>
            <w:noWrap/>
            <w:vAlign w:val="center"/>
          </w:tcPr>
          <w:p w14:paraId="1E7B990B">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绩效评价</w:t>
            </w:r>
            <w:r>
              <w:rPr>
                <w:rFonts w:hint="eastAsia" w:eastAsia="方正仿宋_GBK"/>
                <w:color w:val="000000"/>
                <w:kern w:val="0"/>
                <w:szCs w:val="21"/>
                <w:lang w:eastAsia="zh-CN"/>
              </w:rPr>
              <w:t>指标</w:t>
            </w:r>
            <w:r>
              <w:rPr>
                <w:rFonts w:ascii="Times New Roman" w:hAnsi="Times New Roman" w:eastAsia="方正仿宋_GBK"/>
                <w:color w:val="000000"/>
                <w:kern w:val="0"/>
                <w:szCs w:val="21"/>
              </w:rPr>
              <w:t>分值</w:t>
            </w:r>
          </w:p>
        </w:tc>
        <w:tc>
          <w:tcPr>
            <w:tcW w:w="4345" w:type="dxa"/>
            <w:vMerge w:val="restart"/>
            <w:tcBorders>
              <w:top w:val="single" w:color="000000" w:sz="4" w:space="0"/>
              <w:left w:val="single" w:color="000000" w:sz="4" w:space="0"/>
              <w:bottom w:val="single" w:color="000000" w:sz="4" w:space="0"/>
              <w:right w:val="single" w:color="000000" w:sz="4" w:space="0"/>
            </w:tcBorders>
            <w:noWrap/>
            <w:vAlign w:val="center"/>
          </w:tcPr>
          <w:p w14:paraId="3DEF6A8E">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指标解释</w:t>
            </w:r>
          </w:p>
        </w:tc>
        <w:tc>
          <w:tcPr>
            <w:tcW w:w="690" w:type="dxa"/>
            <w:vMerge w:val="restart"/>
            <w:tcBorders>
              <w:top w:val="single" w:color="000000" w:sz="4" w:space="0"/>
              <w:left w:val="single" w:color="000000" w:sz="4" w:space="0"/>
              <w:bottom w:val="nil"/>
              <w:right w:val="single" w:color="000000" w:sz="4" w:space="0"/>
            </w:tcBorders>
            <w:noWrap/>
            <w:vAlign w:val="center"/>
          </w:tcPr>
          <w:p w14:paraId="6075C211">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自评得分</w:t>
            </w:r>
          </w:p>
        </w:tc>
        <w:tc>
          <w:tcPr>
            <w:tcW w:w="470" w:type="dxa"/>
            <w:vMerge w:val="restart"/>
            <w:tcBorders>
              <w:top w:val="single" w:color="000000" w:sz="4" w:space="0"/>
              <w:left w:val="single" w:color="000000" w:sz="4" w:space="0"/>
              <w:bottom w:val="nil"/>
              <w:right w:val="single" w:color="000000" w:sz="4" w:space="0"/>
            </w:tcBorders>
            <w:noWrap/>
            <w:vAlign w:val="center"/>
          </w:tcPr>
          <w:p w14:paraId="1AD7E4C2">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备注</w:t>
            </w:r>
          </w:p>
        </w:tc>
      </w:tr>
      <w:tr w14:paraId="34F48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jc w:val="center"/>
        </w:trPr>
        <w:tc>
          <w:tcPr>
            <w:tcW w:w="874" w:type="dxa"/>
            <w:tcBorders>
              <w:top w:val="single" w:color="000000" w:sz="4" w:space="0"/>
              <w:left w:val="single" w:color="000000" w:sz="4" w:space="0"/>
              <w:bottom w:val="single" w:color="000000" w:sz="4" w:space="0"/>
              <w:right w:val="nil"/>
            </w:tcBorders>
            <w:noWrap/>
            <w:vAlign w:val="center"/>
          </w:tcPr>
          <w:p w14:paraId="47FA965E">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一级　　指标</w:t>
            </w:r>
          </w:p>
        </w:tc>
        <w:tc>
          <w:tcPr>
            <w:tcW w:w="1083" w:type="dxa"/>
            <w:tcBorders>
              <w:top w:val="single" w:color="000000" w:sz="4" w:space="0"/>
              <w:left w:val="single" w:color="000000" w:sz="4" w:space="0"/>
              <w:bottom w:val="single" w:color="000000" w:sz="4" w:space="0"/>
              <w:right w:val="single" w:color="000000" w:sz="4" w:space="0"/>
            </w:tcBorders>
            <w:noWrap/>
            <w:vAlign w:val="center"/>
          </w:tcPr>
          <w:p w14:paraId="4220CA8F">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二级指标</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346FD0D6">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三级指标</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5B491DB">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指标</w:t>
            </w:r>
            <w:r>
              <w:rPr>
                <w:rFonts w:ascii="Times New Roman" w:hAnsi="Times New Roman" w:eastAsia="方正仿宋_GBK"/>
                <w:color w:val="000000"/>
                <w:kern w:val="0"/>
                <w:szCs w:val="21"/>
              </w:rPr>
              <w:br w:type="textWrapping"/>
            </w:r>
            <w:r>
              <w:rPr>
                <w:rFonts w:ascii="Times New Roman" w:hAnsi="Times New Roman" w:eastAsia="方正仿宋_GBK"/>
                <w:color w:val="000000"/>
                <w:kern w:val="0"/>
                <w:szCs w:val="21"/>
              </w:rPr>
              <w:t>分值</w:t>
            </w:r>
          </w:p>
        </w:tc>
        <w:tc>
          <w:tcPr>
            <w:tcW w:w="4345" w:type="dxa"/>
            <w:vMerge w:val="continue"/>
            <w:tcBorders>
              <w:top w:val="single" w:color="000000" w:sz="4" w:space="0"/>
              <w:left w:val="single" w:color="000000" w:sz="4" w:space="0"/>
              <w:bottom w:val="single" w:color="000000" w:sz="4" w:space="0"/>
              <w:right w:val="single" w:color="000000" w:sz="4" w:space="0"/>
            </w:tcBorders>
            <w:noWrap/>
            <w:vAlign w:val="center"/>
          </w:tcPr>
          <w:p w14:paraId="01395110"/>
        </w:tc>
        <w:tc>
          <w:tcPr>
            <w:tcW w:w="690" w:type="dxa"/>
            <w:vMerge w:val="continue"/>
            <w:tcBorders>
              <w:top w:val="nil"/>
              <w:left w:val="single" w:color="000000" w:sz="4" w:space="0"/>
              <w:bottom w:val="single" w:color="000000" w:sz="4" w:space="0"/>
              <w:right w:val="single" w:color="000000" w:sz="4" w:space="0"/>
            </w:tcBorders>
            <w:noWrap/>
            <w:vAlign w:val="center"/>
          </w:tcPr>
          <w:p w14:paraId="00D19EA5">
            <w:pPr>
              <w:jc w:val="center"/>
            </w:pPr>
          </w:p>
        </w:tc>
        <w:tc>
          <w:tcPr>
            <w:tcW w:w="470" w:type="dxa"/>
            <w:vMerge w:val="continue"/>
            <w:tcBorders>
              <w:top w:val="nil"/>
              <w:left w:val="single" w:color="000000" w:sz="4" w:space="0"/>
              <w:bottom w:val="single" w:color="000000" w:sz="4" w:space="0"/>
              <w:right w:val="single" w:color="000000" w:sz="4" w:space="0"/>
            </w:tcBorders>
            <w:noWrap/>
            <w:vAlign w:val="center"/>
          </w:tcPr>
          <w:p w14:paraId="7BA67BED"/>
        </w:tc>
      </w:tr>
      <w:tr w14:paraId="52E02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jc w:val="center"/>
        </w:trPr>
        <w:tc>
          <w:tcPr>
            <w:tcW w:w="874" w:type="dxa"/>
            <w:vMerge w:val="restart"/>
            <w:tcBorders>
              <w:top w:val="single" w:color="000000" w:sz="4" w:space="0"/>
              <w:left w:val="single" w:color="000000" w:sz="4" w:space="0"/>
              <w:bottom w:val="single" w:color="000000" w:sz="4" w:space="0"/>
              <w:right w:val="single" w:color="000000" w:sz="4" w:space="0"/>
            </w:tcBorders>
            <w:noWrap/>
            <w:vAlign w:val="center"/>
          </w:tcPr>
          <w:p w14:paraId="57E4FD9D">
            <w:pPr>
              <w:snapToGrid w:val="0"/>
              <w:spacing w:line="240" w:lineRule="exact"/>
              <w:jc w:val="center"/>
              <w:textAlignment w:val="center"/>
              <w:rPr>
                <w:rFonts w:ascii="Times New Roman" w:hAnsi="Times New Roman" w:eastAsia="方正仿宋_GBK"/>
                <w:b/>
                <w:color w:val="000000"/>
                <w:szCs w:val="21"/>
              </w:rPr>
            </w:pPr>
            <w:r>
              <w:rPr>
                <w:rFonts w:ascii="Times New Roman" w:hAnsi="Times New Roman" w:eastAsia="方正仿宋_GBK"/>
                <w:b/>
                <w:color w:val="000000"/>
                <w:kern w:val="0"/>
                <w:szCs w:val="21"/>
              </w:rPr>
              <w:t>总体绩效（65分）</w:t>
            </w:r>
          </w:p>
        </w:tc>
        <w:tc>
          <w:tcPr>
            <w:tcW w:w="1083" w:type="dxa"/>
            <w:vMerge w:val="restart"/>
            <w:tcBorders>
              <w:top w:val="single" w:color="000000" w:sz="4" w:space="0"/>
              <w:left w:val="single" w:color="000000" w:sz="4" w:space="0"/>
              <w:right w:val="single" w:color="000000" w:sz="4" w:space="0"/>
            </w:tcBorders>
            <w:noWrap/>
            <w:vAlign w:val="center"/>
          </w:tcPr>
          <w:p w14:paraId="7A94776D">
            <w:pPr>
              <w:snapToGrid w:val="0"/>
              <w:spacing w:line="240" w:lineRule="exact"/>
              <w:jc w:val="center"/>
              <w:textAlignment w:val="center"/>
              <w:rPr>
                <w:rFonts w:ascii="Times New Roman" w:hAnsi="Times New Roman" w:eastAsia="方正仿宋_GBK"/>
                <w:b/>
                <w:color w:val="000000"/>
                <w:szCs w:val="21"/>
              </w:rPr>
            </w:pPr>
            <w:r>
              <w:rPr>
                <w:rFonts w:ascii="Times New Roman" w:hAnsi="Times New Roman" w:eastAsia="方正仿宋_GBK"/>
                <w:b/>
                <w:color w:val="000000"/>
                <w:kern w:val="0"/>
                <w:szCs w:val="21"/>
              </w:rPr>
              <w:t>履职效能</w:t>
            </w:r>
            <w:r>
              <w:rPr>
                <w:rFonts w:ascii="Times New Roman" w:hAnsi="Times New Roman" w:eastAsia="方正仿宋_GBK"/>
                <w:b/>
                <w:color w:val="000000"/>
                <w:kern w:val="0"/>
                <w:szCs w:val="21"/>
              </w:rPr>
              <w:br w:type="textWrapping"/>
            </w:r>
            <w:r>
              <w:rPr>
                <w:rFonts w:ascii="Times New Roman" w:hAnsi="Times New Roman" w:eastAsia="方正仿宋_GBK"/>
                <w:b/>
                <w:color w:val="000000"/>
                <w:kern w:val="0"/>
                <w:szCs w:val="21"/>
              </w:rPr>
              <w:t>（19分）</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56BF811F">
            <w:pPr>
              <w:snapToGrid w:val="0"/>
              <w:spacing w:line="240" w:lineRule="exact"/>
              <w:jc w:val="left"/>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粮油生产再获丰收</w:t>
            </w:r>
          </w:p>
        </w:tc>
        <w:tc>
          <w:tcPr>
            <w:tcW w:w="709" w:type="dxa"/>
            <w:tcBorders>
              <w:top w:val="nil"/>
              <w:left w:val="single" w:color="000000" w:sz="4" w:space="0"/>
              <w:bottom w:val="single" w:color="000000" w:sz="4" w:space="0"/>
              <w:right w:val="single" w:color="000000" w:sz="4" w:space="0"/>
            </w:tcBorders>
            <w:noWrap/>
            <w:vAlign w:val="center"/>
          </w:tcPr>
          <w:p w14:paraId="1FF87BA1">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5</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439D0A21">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反映该项职能目标完成效果情况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260725E2">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5</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38276592">
            <w:pPr>
              <w:snapToGrid w:val="0"/>
              <w:spacing w:line="240" w:lineRule="exact"/>
              <w:jc w:val="left"/>
              <w:textAlignment w:val="center"/>
              <w:rPr>
                <w:rFonts w:ascii="Times New Roman" w:hAnsi="Times New Roman" w:eastAsia="方正仿宋_GBK"/>
                <w:color w:val="000000"/>
                <w:kern w:val="0"/>
                <w:szCs w:val="21"/>
              </w:rPr>
            </w:pPr>
          </w:p>
        </w:tc>
      </w:tr>
      <w:tr w14:paraId="5910A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 w:hRule="atLeast"/>
          <w:jc w:val="center"/>
        </w:trPr>
        <w:tc>
          <w:tcPr>
            <w:tcW w:w="874" w:type="dxa"/>
            <w:vMerge w:val="continue"/>
            <w:tcBorders>
              <w:left w:val="single" w:color="000000" w:sz="4" w:space="0"/>
              <w:right w:val="single" w:color="000000" w:sz="4" w:space="0"/>
            </w:tcBorders>
            <w:noWrap/>
            <w:vAlign w:val="center"/>
          </w:tcPr>
          <w:p w14:paraId="1F909AE1"/>
        </w:tc>
        <w:tc>
          <w:tcPr>
            <w:tcW w:w="1083" w:type="dxa"/>
            <w:vMerge w:val="continue"/>
            <w:tcBorders>
              <w:left w:val="single" w:color="000000" w:sz="4" w:space="0"/>
              <w:right w:val="single" w:color="000000" w:sz="4" w:space="0"/>
            </w:tcBorders>
            <w:noWrap/>
            <w:vAlign w:val="center"/>
          </w:tcPr>
          <w:p w14:paraId="4EB45240"/>
        </w:tc>
        <w:tc>
          <w:tcPr>
            <w:tcW w:w="2057" w:type="dxa"/>
            <w:tcBorders>
              <w:top w:val="single" w:color="000000" w:sz="4" w:space="0"/>
              <w:left w:val="single" w:color="000000" w:sz="4" w:space="0"/>
              <w:bottom w:val="single" w:color="000000" w:sz="4" w:space="0"/>
              <w:right w:val="single" w:color="000000" w:sz="4" w:space="0"/>
            </w:tcBorders>
            <w:noWrap/>
            <w:vAlign w:val="center"/>
          </w:tcPr>
          <w:p w14:paraId="5DE6D380">
            <w:pPr>
              <w:snapToGrid w:val="0"/>
              <w:spacing w:line="240" w:lineRule="exact"/>
              <w:jc w:val="left"/>
              <w:textAlignment w:val="center"/>
              <w:rPr>
                <w:rFonts w:ascii="Times New Roman" w:hAnsi="Times New Roman" w:eastAsia="方正仿宋_GBK"/>
                <w:color w:val="000000"/>
                <w:kern w:val="0"/>
                <w:szCs w:val="21"/>
              </w:rPr>
            </w:pPr>
            <w:r>
              <w:rPr>
                <w:rFonts w:hint="eastAsia" w:eastAsia="方正仿宋_GBK"/>
                <w:color w:val="000000"/>
                <w:kern w:val="0"/>
                <w:szCs w:val="21"/>
                <w:lang w:eastAsia="zh-CN"/>
              </w:rPr>
              <w:t>脱贫攻坚成果</w:t>
            </w:r>
            <w:r>
              <w:rPr>
                <w:rFonts w:ascii="Times New Roman" w:hAnsi="Times New Roman" w:eastAsia="方正仿宋_GBK"/>
                <w:color w:val="000000"/>
                <w:kern w:val="0"/>
                <w:szCs w:val="21"/>
              </w:rPr>
              <w:t>有力巩固</w:t>
            </w:r>
          </w:p>
        </w:tc>
        <w:tc>
          <w:tcPr>
            <w:tcW w:w="709" w:type="dxa"/>
            <w:tcBorders>
              <w:top w:val="nil"/>
              <w:left w:val="single" w:color="000000" w:sz="4" w:space="0"/>
              <w:bottom w:val="single" w:color="000000" w:sz="4" w:space="0"/>
              <w:right w:val="single" w:color="000000" w:sz="4" w:space="0"/>
            </w:tcBorders>
            <w:noWrap/>
            <w:vAlign w:val="center"/>
          </w:tcPr>
          <w:p w14:paraId="51A2A3DC">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5</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03D9E37D">
            <w:pPr>
              <w:snapToGrid w:val="0"/>
              <w:spacing w:line="240" w:lineRule="exact"/>
              <w:jc w:val="left"/>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反映该项职能目标完成效果情况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76778201">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5</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47100D9C">
            <w:pPr>
              <w:snapToGrid w:val="0"/>
              <w:spacing w:line="240" w:lineRule="exact"/>
              <w:jc w:val="left"/>
              <w:textAlignment w:val="center"/>
              <w:rPr>
                <w:rFonts w:ascii="Times New Roman" w:hAnsi="Times New Roman" w:eastAsia="方正仿宋_GBK"/>
                <w:color w:val="000000"/>
                <w:kern w:val="0"/>
                <w:szCs w:val="21"/>
              </w:rPr>
            </w:pPr>
          </w:p>
        </w:tc>
      </w:tr>
      <w:tr w14:paraId="1699B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jc w:val="center"/>
        </w:trPr>
        <w:tc>
          <w:tcPr>
            <w:tcW w:w="874" w:type="dxa"/>
            <w:vMerge w:val="continue"/>
            <w:tcBorders>
              <w:left w:val="single" w:color="000000" w:sz="4" w:space="0"/>
              <w:right w:val="single" w:color="000000" w:sz="4" w:space="0"/>
            </w:tcBorders>
            <w:noWrap/>
            <w:vAlign w:val="center"/>
          </w:tcPr>
          <w:p w14:paraId="6FC54A4F"/>
        </w:tc>
        <w:tc>
          <w:tcPr>
            <w:tcW w:w="1083" w:type="dxa"/>
            <w:vMerge w:val="continue"/>
            <w:tcBorders>
              <w:left w:val="single" w:color="000000" w:sz="4" w:space="0"/>
              <w:right w:val="single" w:color="000000" w:sz="4" w:space="0"/>
            </w:tcBorders>
            <w:noWrap/>
            <w:vAlign w:val="center"/>
          </w:tcPr>
          <w:p w14:paraId="768D1D9F"/>
        </w:tc>
        <w:tc>
          <w:tcPr>
            <w:tcW w:w="2057" w:type="dxa"/>
            <w:tcBorders>
              <w:top w:val="single" w:color="000000" w:sz="4" w:space="0"/>
              <w:left w:val="single" w:color="000000" w:sz="4" w:space="0"/>
              <w:bottom w:val="single" w:color="000000" w:sz="4" w:space="0"/>
              <w:right w:val="single" w:color="000000" w:sz="4" w:space="0"/>
            </w:tcBorders>
            <w:noWrap/>
            <w:vAlign w:val="center"/>
          </w:tcPr>
          <w:p w14:paraId="16AEDD6B">
            <w:pPr>
              <w:snapToGrid w:val="0"/>
              <w:spacing w:line="240" w:lineRule="exact"/>
              <w:jc w:val="left"/>
              <w:textAlignment w:val="center"/>
              <w:rPr>
                <w:rFonts w:ascii="Times New Roman" w:hAnsi="Times New Roman" w:eastAsia="方正仿宋_GBK"/>
                <w:color w:val="000000"/>
                <w:spacing w:val="-12"/>
                <w:kern w:val="0"/>
                <w:szCs w:val="21"/>
              </w:rPr>
            </w:pPr>
            <w:r>
              <w:rPr>
                <w:rFonts w:ascii="Times New Roman" w:hAnsi="Times New Roman" w:eastAsia="方正仿宋_GBK"/>
                <w:color w:val="000000"/>
                <w:spacing w:val="-12"/>
                <w:kern w:val="0"/>
                <w:szCs w:val="21"/>
              </w:rPr>
              <w:t>“菜篮子”产品有效供给</w:t>
            </w:r>
          </w:p>
        </w:tc>
        <w:tc>
          <w:tcPr>
            <w:tcW w:w="709" w:type="dxa"/>
            <w:tcBorders>
              <w:top w:val="nil"/>
              <w:left w:val="single" w:color="000000" w:sz="4" w:space="0"/>
              <w:bottom w:val="single" w:color="000000" w:sz="4" w:space="0"/>
              <w:right w:val="single" w:color="000000" w:sz="4" w:space="0"/>
            </w:tcBorders>
            <w:noWrap/>
            <w:vAlign w:val="center"/>
          </w:tcPr>
          <w:p w14:paraId="002F882D">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5</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7C4A883D">
            <w:pPr>
              <w:snapToGrid w:val="0"/>
              <w:spacing w:line="240" w:lineRule="exact"/>
              <w:jc w:val="left"/>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反映该项职能目标完成效果情况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184A3215">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5</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3DC374EE">
            <w:pPr>
              <w:snapToGrid w:val="0"/>
              <w:spacing w:line="240" w:lineRule="exact"/>
              <w:jc w:val="left"/>
              <w:textAlignment w:val="center"/>
              <w:rPr>
                <w:rFonts w:ascii="Times New Roman" w:hAnsi="Times New Roman" w:eastAsia="方正仿宋_GBK"/>
                <w:color w:val="000000"/>
                <w:kern w:val="0"/>
                <w:szCs w:val="21"/>
              </w:rPr>
            </w:pPr>
          </w:p>
        </w:tc>
      </w:tr>
      <w:tr w14:paraId="35334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 w:hRule="atLeast"/>
          <w:jc w:val="center"/>
        </w:trPr>
        <w:tc>
          <w:tcPr>
            <w:tcW w:w="874" w:type="dxa"/>
            <w:vMerge w:val="continue"/>
            <w:tcBorders>
              <w:left w:val="single" w:color="000000" w:sz="4" w:space="0"/>
              <w:right w:val="single" w:color="000000" w:sz="4" w:space="0"/>
            </w:tcBorders>
            <w:noWrap/>
            <w:vAlign w:val="center"/>
          </w:tcPr>
          <w:p w14:paraId="60900148"/>
        </w:tc>
        <w:tc>
          <w:tcPr>
            <w:tcW w:w="1083" w:type="dxa"/>
            <w:vMerge w:val="continue"/>
            <w:tcBorders>
              <w:left w:val="single" w:color="000000" w:sz="4" w:space="0"/>
              <w:bottom w:val="single" w:color="000000" w:sz="4" w:space="0"/>
              <w:right w:val="single" w:color="000000" w:sz="4" w:space="0"/>
            </w:tcBorders>
            <w:noWrap/>
            <w:vAlign w:val="center"/>
          </w:tcPr>
          <w:p w14:paraId="65CCB618"/>
        </w:tc>
        <w:tc>
          <w:tcPr>
            <w:tcW w:w="2057" w:type="dxa"/>
            <w:tcBorders>
              <w:top w:val="single" w:color="000000" w:sz="4" w:space="0"/>
              <w:left w:val="single" w:color="000000" w:sz="4" w:space="0"/>
              <w:bottom w:val="single" w:color="000000" w:sz="4" w:space="0"/>
              <w:right w:val="single" w:color="000000" w:sz="4" w:space="0"/>
            </w:tcBorders>
            <w:noWrap/>
            <w:vAlign w:val="center"/>
          </w:tcPr>
          <w:p w14:paraId="1E170747">
            <w:pPr>
              <w:snapToGrid w:val="0"/>
              <w:spacing w:line="240" w:lineRule="exact"/>
              <w:jc w:val="left"/>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和美乡村加快建设</w:t>
            </w:r>
          </w:p>
        </w:tc>
        <w:tc>
          <w:tcPr>
            <w:tcW w:w="709" w:type="dxa"/>
            <w:tcBorders>
              <w:top w:val="nil"/>
              <w:left w:val="single" w:color="000000" w:sz="4" w:space="0"/>
              <w:bottom w:val="single" w:color="000000" w:sz="4" w:space="0"/>
              <w:right w:val="single" w:color="000000" w:sz="4" w:space="0"/>
            </w:tcBorders>
            <w:noWrap/>
            <w:vAlign w:val="center"/>
          </w:tcPr>
          <w:p w14:paraId="53C0F41C">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4</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3F90E3E6">
            <w:pPr>
              <w:snapToGrid w:val="0"/>
              <w:spacing w:line="240" w:lineRule="exact"/>
              <w:jc w:val="left"/>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反映该项职能目标完成效果情况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5309A52">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4</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489B494D">
            <w:pPr>
              <w:snapToGrid w:val="0"/>
              <w:spacing w:line="240" w:lineRule="exact"/>
              <w:jc w:val="left"/>
              <w:textAlignment w:val="center"/>
              <w:rPr>
                <w:rFonts w:ascii="Times New Roman" w:hAnsi="Times New Roman" w:eastAsia="方正仿宋_GBK"/>
                <w:color w:val="000000"/>
                <w:kern w:val="0"/>
                <w:szCs w:val="21"/>
              </w:rPr>
            </w:pPr>
          </w:p>
        </w:tc>
      </w:tr>
      <w:tr w14:paraId="1925C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334C8CE3"/>
        </w:tc>
        <w:tc>
          <w:tcPr>
            <w:tcW w:w="1083" w:type="dxa"/>
            <w:vMerge w:val="restart"/>
            <w:tcBorders>
              <w:top w:val="single" w:color="000000" w:sz="4" w:space="0"/>
              <w:left w:val="single" w:color="000000" w:sz="4" w:space="0"/>
              <w:bottom w:val="single" w:color="000000" w:sz="4" w:space="0"/>
              <w:right w:val="single" w:color="000000" w:sz="4" w:space="0"/>
            </w:tcBorders>
            <w:noWrap/>
            <w:vAlign w:val="center"/>
          </w:tcPr>
          <w:p w14:paraId="0616C12F">
            <w:pPr>
              <w:snapToGrid w:val="0"/>
              <w:spacing w:line="240" w:lineRule="exact"/>
              <w:jc w:val="center"/>
              <w:textAlignment w:val="center"/>
              <w:rPr>
                <w:rFonts w:ascii="Times New Roman" w:hAnsi="Times New Roman" w:eastAsia="方正仿宋_GBK"/>
                <w:b/>
                <w:color w:val="000000"/>
                <w:szCs w:val="21"/>
              </w:rPr>
            </w:pPr>
            <w:r>
              <w:rPr>
                <w:rFonts w:ascii="Times New Roman" w:hAnsi="Times New Roman" w:eastAsia="方正仿宋_GBK"/>
                <w:b/>
                <w:color w:val="000000"/>
                <w:kern w:val="0"/>
                <w:szCs w:val="21"/>
              </w:rPr>
              <w:t>预算管理</w:t>
            </w:r>
            <w:r>
              <w:rPr>
                <w:rFonts w:ascii="Times New Roman" w:hAnsi="Times New Roman" w:eastAsia="方正仿宋_GBK"/>
                <w:b/>
                <w:color w:val="000000"/>
                <w:kern w:val="0"/>
                <w:szCs w:val="21"/>
              </w:rPr>
              <w:br w:type="textWrapping"/>
            </w:r>
            <w:r>
              <w:rPr>
                <w:rFonts w:ascii="Times New Roman" w:hAnsi="Times New Roman" w:eastAsia="方正仿宋_GBK"/>
                <w:b/>
                <w:color w:val="000000"/>
                <w:kern w:val="0"/>
                <w:szCs w:val="21"/>
              </w:rPr>
              <w:t>（21分）</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32F6D489">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预算编制质量</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EFD96B3">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8</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14629442">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部门是否严格按要求编制年初部门预算，年初预算编制的科学性和准确性</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1D193BD">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8</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1B0890F5">
            <w:pPr>
              <w:snapToGrid w:val="0"/>
              <w:spacing w:line="240" w:lineRule="exact"/>
              <w:jc w:val="left"/>
              <w:textAlignment w:val="center"/>
              <w:rPr>
                <w:rFonts w:ascii="Times New Roman" w:hAnsi="Times New Roman" w:eastAsia="方正仿宋_GBK"/>
                <w:color w:val="000000"/>
                <w:kern w:val="0"/>
                <w:szCs w:val="21"/>
              </w:rPr>
            </w:pPr>
          </w:p>
        </w:tc>
      </w:tr>
      <w:tr w14:paraId="3FA69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4"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7827EA59"/>
        </w:tc>
        <w:tc>
          <w:tcPr>
            <w:tcW w:w="1083" w:type="dxa"/>
            <w:vMerge w:val="continue"/>
            <w:tcBorders>
              <w:top w:val="single" w:color="000000" w:sz="4" w:space="0"/>
              <w:left w:val="single" w:color="000000" w:sz="4" w:space="0"/>
              <w:bottom w:val="single" w:color="000000" w:sz="4" w:space="0"/>
              <w:right w:val="single" w:color="000000" w:sz="4" w:space="0"/>
            </w:tcBorders>
            <w:noWrap/>
            <w:vAlign w:val="center"/>
          </w:tcPr>
          <w:p w14:paraId="0E3058D8"/>
        </w:tc>
        <w:tc>
          <w:tcPr>
            <w:tcW w:w="2057" w:type="dxa"/>
            <w:tcBorders>
              <w:top w:val="single" w:color="000000" w:sz="4" w:space="0"/>
              <w:left w:val="single" w:color="000000" w:sz="4" w:space="0"/>
              <w:bottom w:val="single" w:color="000000" w:sz="4" w:space="0"/>
              <w:right w:val="single" w:color="000000" w:sz="4" w:space="0"/>
            </w:tcBorders>
            <w:noWrap/>
            <w:vAlign w:val="center"/>
          </w:tcPr>
          <w:p w14:paraId="1B171779">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支出执行进度</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00A3485">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6</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2CBE7E21">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部门1至6月、1至10月预算执行情况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3DF1DCF">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6</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37E952A3">
            <w:pPr>
              <w:snapToGrid w:val="0"/>
              <w:spacing w:line="240" w:lineRule="exact"/>
              <w:jc w:val="left"/>
              <w:textAlignment w:val="center"/>
              <w:rPr>
                <w:rFonts w:ascii="Times New Roman" w:hAnsi="Times New Roman" w:eastAsia="方正仿宋_GBK"/>
                <w:color w:val="000000"/>
                <w:kern w:val="0"/>
                <w:szCs w:val="21"/>
              </w:rPr>
            </w:pPr>
          </w:p>
        </w:tc>
      </w:tr>
      <w:tr w14:paraId="6A394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7D469AB7"/>
        </w:tc>
        <w:tc>
          <w:tcPr>
            <w:tcW w:w="1083" w:type="dxa"/>
            <w:vMerge w:val="continue"/>
            <w:tcBorders>
              <w:top w:val="single" w:color="000000" w:sz="4" w:space="0"/>
              <w:left w:val="single" w:color="000000" w:sz="4" w:space="0"/>
              <w:bottom w:val="single" w:color="000000" w:sz="4" w:space="0"/>
              <w:right w:val="single" w:color="000000" w:sz="4" w:space="0"/>
            </w:tcBorders>
            <w:noWrap/>
            <w:vAlign w:val="center"/>
          </w:tcPr>
          <w:p w14:paraId="719422BC"/>
        </w:tc>
        <w:tc>
          <w:tcPr>
            <w:tcW w:w="2057" w:type="dxa"/>
            <w:tcBorders>
              <w:top w:val="single" w:color="000000" w:sz="4" w:space="0"/>
              <w:left w:val="single" w:color="000000" w:sz="4" w:space="0"/>
              <w:bottom w:val="single" w:color="000000" w:sz="4" w:space="0"/>
              <w:right w:val="single" w:color="000000" w:sz="4" w:space="0"/>
            </w:tcBorders>
            <w:noWrap/>
            <w:vAlign w:val="center"/>
          </w:tcPr>
          <w:p w14:paraId="2D4FD610">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预算年终结余</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671508D">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2</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6B9740E6">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部门整体年终预算结余情况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0A4CA9F2">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2</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78E55F34">
            <w:pPr>
              <w:snapToGrid w:val="0"/>
              <w:spacing w:line="240" w:lineRule="exact"/>
              <w:jc w:val="left"/>
              <w:textAlignment w:val="center"/>
              <w:rPr>
                <w:rFonts w:ascii="Times New Roman" w:hAnsi="Times New Roman" w:eastAsia="方正仿宋_GBK"/>
                <w:color w:val="000000"/>
                <w:kern w:val="0"/>
                <w:szCs w:val="21"/>
              </w:rPr>
            </w:pPr>
          </w:p>
        </w:tc>
      </w:tr>
      <w:tr w14:paraId="1CF58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49661904"/>
        </w:tc>
        <w:tc>
          <w:tcPr>
            <w:tcW w:w="1083" w:type="dxa"/>
            <w:vMerge w:val="continue"/>
            <w:tcBorders>
              <w:top w:val="single" w:color="000000" w:sz="4" w:space="0"/>
              <w:left w:val="single" w:color="000000" w:sz="4" w:space="0"/>
              <w:bottom w:val="single" w:color="000000" w:sz="4" w:space="0"/>
              <w:right w:val="single" w:color="000000" w:sz="4" w:space="0"/>
            </w:tcBorders>
            <w:noWrap/>
            <w:vAlign w:val="center"/>
          </w:tcPr>
          <w:p w14:paraId="53B5D90D"/>
        </w:tc>
        <w:tc>
          <w:tcPr>
            <w:tcW w:w="2057" w:type="dxa"/>
            <w:tcBorders>
              <w:top w:val="single" w:color="000000" w:sz="4" w:space="0"/>
              <w:left w:val="single" w:color="000000" w:sz="4" w:space="0"/>
              <w:bottom w:val="single" w:color="000000" w:sz="4" w:space="0"/>
              <w:right w:val="single" w:color="000000" w:sz="4" w:space="0"/>
            </w:tcBorders>
            <w:noWrap/>
            <w:vAlign w:val="center"/>
          </w:tcPr>
          <w:p w14:paraId="38D79F16">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严控一般性支出</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146535B">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5</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7FA825DD">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部门严控“三公”经费、会议、培训、差旅、办节办展、办公设备购置、信息网络及软件购置更新、课题经费等8项一般性支出情况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3CE700A2">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5</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11A671DD">
            <w:pPr>
              <w:snapToGrid w:val="0"/>
              <w:spacing w:line="240" w:lineRule="exact"/>
              <w:jc w:val="left"/>
              <w:textAlignment w:val="center"/>
              <w:rPr>
                <w:rFonts w:ascii="Times New Roman" w:hAnsi="Times New Roman" w:eastAsia="方正仿宋_GBK"/>
                <w:color w:val="000000"/>
                <w:kern w:val="0"/>
                <w:szCs w:val="21"/>
              </w:rPr>
            </w:pPr>
          </w:p>
        </w:tc>
      </w:tr>
      <w:tr w14:paraId="5DE6E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74B50105"/>
        </w:tc>
        <w:tc>
          <w:tcPr>
            <w:tcW w:w="1083" w:type="dxa"/>
            <w:vMerge w:val="restart"/>
            <w:tcBorders>
              <w:top w:val="single" w:color="000000" w:sz="4" w:space="0"/>
              <w:left w:val="single" w:color="000000" w:sz="4" w:space="0"/>
              <w:bottom w:val="single" w:color="000000" w:sz="4" w:space="0"/>
              <w:right w:val="single" w:color="000000" w:sz="4" w:space="0"/>
            </w:tcBorders>
            <w:noWrap/>
            <w:vAlign w:val="center"/>
          </w:tcPr>
          <w:p w14:paraId="7CCECC66">
            <w:pPr>
              <w:snapToGrid w:val="0"/>
              <w:spacing w:line="240" w:lineRule="exact"/>
              <w:jc w:val="center"/>
              <w:textAlignment w:val="center"/>
              <w:rPr>
                <w:rFonts w:ascii="Times New Roman" w:hAnsi="Times New Roman" w:eastAsia="方正仿宋_GBK"/>
                <w:b/>
                <w:color w:val="000000"/>
                <w:szCs w:val="21"/>
              </w:rPr>
            </w:pPr>
            <w:r>
              <w:rPr>
                <w:rFonts w:ascii="Times New Roman" w:hAnsi="Times New Roman" w:eastAsia="方正仿宋_GBK"/>
                <w:b/>
                <w:color w:val="000000"/>
                <w:kern w:val="0"/>
                <w:szCs w:val="21"/>
              </w:rPr>
              <w:t>财务管理</w:t>
            </w:r>
            <w:r>
              <w:rPr>
                <w:rFonts w:ascii="Times New Roman" w:hAnsi="Times New Roman" w:eastAsia="方正仿宋_GBK"/>
                <w:b/>
                <w:color w:val="000000"/>
                <w:kern w:val="0"/>
                <w:szCs w:val="21"/>
              </w:rPr>
              <w:br w:type="textWrapping"/>
            </w:r>
            <w:r>
              <w:rPr>
                <w:rFonts w:ascii="Times New Roman" w:hAnsi="Times New Roman" w:eastAsia="方正仿宋_GBK"/>
                <w:b/>
                <w:color w:val="000000"/>
                <w:kern w:val="0"/>
                <w:szCs w:val="21"/>
              </w:rPr>
              <w:t>（10分）</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623698CC">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财务管理制度</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B026B20">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4</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6D919426">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部门财务管理制度建立情况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00D3BBA0">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4</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39FDA72E">
            <w:pPr>
              <w:snapToGrid w:val="0"/>
              <w:spacing w:line="240" w:lineRule="exact"/>
              <w:jc w:val="left"/>
              <w:textAlignment w:val="center"/>
              <w:rPr>
                <w:rFonts w:ascii="Times New Roman" w:hAnsi="Times New Roman" w:eastAsia="方正仿宋_GBK"/>
                <w:color w:val="000000"/>
                <w:kern w:val="0"/>
                <w:szCs w:val="21"/>
              </w:rPr>
            </w:pPr>
          </w:p>
        </w:tc>
      </w:tr>
      <w:tr w14:paraId="1EEBD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51D80E87"/>
        </w:tc>
        <w:tc>
          <w:tcPr>
            <w:tcW w:w="1083" w:type="dxa"/>
            <w:vMerge w:val="continue"/>
            <w:tcBorders>
              <w:top w:val="single" w:color="000000" w:sz="4" w:space="0"/>
              <w:left w:val="single" w:color="000000" w:sz="4" w:space="0"/>
              <w:bottom w:val="single" w:color="000000" w:sz="4" w:space="0"/>
              <w:right w:val="single" w:color="000000" w:sz="4" w:space="0"/>
            </w:tcBorders>
            <w:noWrap/>
            <w:vAlign w:val="center"/>
          </w:tcPr>
          <w:p w14:paraId="0B9B2959"/>
        </w:tc>
        <w:tc>
          <w:tcPr>
            <w:tcW w:w="2057" w:type="dxa"/>
            <w:tcBorders>
              <w:top w:val="single" w:color="000000" w:sz="4" w:space="0"/>
              <w:left w:val="single" w:color="000000" w:sz="4" w:space="0"/>
              <w:bottom w:val="single" w:color="000000" w:sz="4" w:space="0"/>
              <w:right w:val="single" w:color="000000" w:sz="4" w:space="0"/>
            </w:tcBorders>
            <w:noWrap/>
            <w:vAlign w:val="center"/>
          </w:tcPr>
          <w:p w14:paraId="02AC75A0">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财务岗位设置</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51E4974">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2</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4CCA9470">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部门财务岗位设置是否符合相关财务管理制度要求</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401DEA5D">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2</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06DCC183">
            <w:pPr>
              <w:snapToGrid w:val="0"/>
              <w:spacing w:line="240" w:lineRule="exact"/>
              <w:jc w:val="left"/>
              <w:textAlignment w:val="center"/>
              <w:rPr>
                <w:rFonts w:ascii="Times New Roman" w:hAnsi="Times New Roman" w:eastAsia="方正仿宋_GBK"/>
                <w:color w:val="000000"/>
                <w:kern w:val="0"/>
                <w:szCs w:val="21"/>
              </w:rPr>
            </w:pPr>
          </w:p>
        </w:tc>
      </w:tr>
      <w:tr w14:paraId="37DA9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4F9919F4"/>
        </w:tc>
        <w:tc>
          <w:tcPr>
            <w:tcW w:w="1083" w:type="dxa"/>
            <w:vMerge w:val="continue"/>
            <w:tcBorders>
              <w:top w:val="single" w:color="000000" w:sz="4" w:space="0"/>
              <w:left w:val="single" w:color="000000" w:sz="4" w:space="0"/>
              <w:bottom w:val="single" w:color="000000" w:sz="4" w:space="0"/>
              <w:right w:val="single" w:color="000000" w:sz="4" w:space="0"/>
            </w:tcBorders>
            <w:noWrap/>
            <w:vAlign w:val="center"/>
          </w:tcPr>
          <w:p w14:paraId="03602B76"/>
        </w:tc>
        <w:tc>
          <w:tcPr>
            <w:tcW w:w="2057" w:type="dxa"/>
            <w:tcBorders>
              <w:top w:val="single" w:color="000000" w:sz="4" w:space="0"/>
              <w:left w:val="single" w:color="000000" w:sz="4" w:space="0"/>
              <w:bottom w:val="single" w:color="000000" w:sz="4" w:space="0"/>
              <w:right w:val="single" w:color="000000" w:sz="4" w:space="0"/>
            </w:tcBorders>
            <w:noWrap/>
            <w:vAlign w:val="center"/>
          </w:tcPr>
          <w:p w14:paraId="5547D3B9">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资金使用规范</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B810FCE">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4</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44382165">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部门资金使用是否符合相关财务管理制度规定</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4A3C004A">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4</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60F8083F">
            <w:pPr>
              <w:snapToGrid w:val="0"/>
              <w:spacing w:line="240" w:lineRule="exact"/>
              <w:jc w:val="left"/>
              <w:textAlignment w:val="center"/>
              <w:rPr>
                <w:rFonts w:ascii="Times New Roman" w:hAnsi="Times New Roman" w:eastAsia="方正仿宋_GBK"/>
                <w:color w:val="000000"/>
                <w:kern w:val="0"/>
                <w:szCs w:val="21"/>
              </w:rPr>
            </w:pPr>
          </w:p>
        </w:tc>
      </w:tr>
      <w:tr w14:paraId="2F52D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43D92DD6"/>
        </w:tc>
        <w:tc>
          <w:tcPr>
            <w:tcW w:w="1083" w:type="dxa"/>
            <w:vMerge w:val="restart"/>
            <w:tcBorders>
              <w:top w:val="single" w:color="000000" w:sz="4" w:space="0"/>
              <w:left w:val="single" w:color="000000" w:sz="4" w:space="0"/>
              <w:bottom w:val="single" w:color="000000" w:sz="4" w:space="0"/>
              <w:right w:val="single" w:color="000000" w:sz="4" w:space="0"/>
            </w:tcBorders>
            <w:noWrap/>
            <w:vAlign w:val="center"/>
          </w:tcPr>
          <w:p w14:paraId="3285BB16">
            <w:pPr>
              <w:snapToGrid w:val="0"/>
              <w:spacing w:line="240" w:lineRule="exact"/>
              <w:jc w:val="center"/>
              <w:textAlignment w:val="center"/>
              <w:rPr>
                <w:rFonts w:ascii="Times New Roman" w:hAnsi="Times New Roman" w:eastAsia="方正仿宋_GBK"/>
                <w:b/>
                <w:color w:val="000000"/>
                <w:szCs w:val="21"/>
              </w:rPr>
            </w:pPr>
            <w:r>
              <w:rPr>
                <w:rFonts w:ascii="Times New Roman" w:hAnsi="Times New Roman" w:eastAsia="方正仿宋_GBK"/>
                <w:b/>
                <w:color w:val="000000"/>
                <w:kern w:val="0"/>
                <w:szCs w:val="21"/>
              </w:rPr>
              <w:t>资产管理</w:t>
            </w:r>
            <w:r>
              <w:rPr>
                <w:rFonts w:ascii="Times New Roman" w:hAnsi="Times New Roman" w:eastAsia="方正仿宋_GBK"/>
                <w:b/>
                <w:color w:val="000000"/>
                <w:kern w:val="0"/>
                <w:szCs w:val="21"/>
              </w:rPr>
              <w:br w:type="textWrapping"/>
            </w:r>
            <w:r>
              <w:rPr>
                <w:rFonts w:ascii="Times New Roman" w:hAnsi="Times New Roman" w:eastAsia="方正仿宋_GBK"/>
                <w:b/>
                <w:color w:val="000000"/>
                <w:kern w:val="0"/>
                <w:szCs w:val="21"/>
              </w:rPr>
              <w:t>（9分）</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77038F80">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人均资产变化率</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86B137A">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3</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068B9E93">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部门人均资产变化情况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C31DA38">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3</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6AED8583">
            <w:pPr>
              <w:snapToGrid w:val="0"/>
              <w:spacing w:line="240" w:lineRule="exact"/>
              <w:jc w:val="left"/>
              <w:textAlignment w:val="center"/>
              <w:rPr>
                <w:rFonts w:ascii="Times New Roman" w:hAnsi="Times New Roman" w:eastAsia="方正仿宋_GBK"/>
                <w:color w:val="000000"/>
                <w:kern w:val="0"/>
                <w:szCs w:val="21"/>
              </w:rPr>
            </w:pPr>
          </w:p>
        </w:tc>
      </w:tr>
      <w:tr w14:paraId="7FD75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538E3F54"/>
        </w:tc>
        <w:tc>
          <w:tcPr>
            <w:tcW w:w="1083" w:type="dxa"/>
            <w:vMerge w:val="continue"/>
            <w:tcBorders>
              <w:top w:val="single" w:color="000000" w:sz="4" w:space="0"/>
              <w:left w:val="single" w:color="000000" w:sz="4" w:space="0"/>
              <w:bottom w:val="single" w:color="000000" w:sz="4" w:space="0"/>
              <w:right w:val="single" w:color="000000" w:sz="4" w:space="0"/>
            </w:tcBorders>
            <w:noWrap/>
            <w:vAlign w:val="center"/>
          </w:tcPr>
          <w:p w14:paraId="16B3A097"/>
        </w:tc>
        <w:tc>
          <w:tcPr>
            <w:tcW w:w="2057" w:type="dxa"/>
            <w:tcBorders>
              <w:top w:val="single" w:color="000000" w:sz="4" w:space="0"/>
              <w:left w:val="single" w:color="000000" w:sz="4" w:space="0"/>
              <w:bottom w:val="single" w:color="000000" w:sz="4" w:space="0"/>
              <w:right w:val="single" w:color="000000" w:sz="4" w:space="0"/>
            </w:tcBorders>
            <w:noWrap/>
            <w:vAlign w:val="center"/>
          </w:tcPr>
          <w:p w14:paraId="30D2E30B">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资产利用率</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B087D95">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3</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4C08B348">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部门资产超最低使用年限情况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4B41BAB">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3</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12256DF3">
            <w:pPr>
              <w:snapToGrid w:val="0"/>
              <w:spacing w:line="240" w:lineRule="exact"/>
              <w:jc w:val="left"/>
              <w:textAlignment w:val="center"/>
              <w:rPr>
                <w:rFonts w:ascii="Times New Roman" w:hAnsi="Times New Roman" w:eastAsia="方正仿宋_GBK"/>
                <w:color w:val="000000"/>
                <w:kern w:val="0"/>
                <w:szCs w:val="21"/>
              </w:rPr>
            </w:pPr>
          </w:p>
        </w:tc>
      </w:tr>
      <w:tr w14:paraId="2919C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30ADB261"/>
        </w:tc>
        <w:tc>
          <w:tcPr>
            <w:tcW w:w="1083" w:type="dxa"/>
            <w:vMerge w:val="continue"/>
            <w:tcBorders>
              <w:top w:val="single" w:color="000000" w:sz="4" w:space="0"/>
              <w:left w:val="single" w:color="000000" w:sz="4" w:space="0"/>
              <w:bottom w:val="single" w:color="000000" w:sz="4" w:space="0"/>
              <w:right w:val="single" w:color="000000" w:sz="4" w:space="0"/>
            </w:tcBorders>
            <w:noWrap/>
            <w:vAlign w:val="center"/>
          </w:tcPr>
          <w:p w14:paraId="6B84155E"/>
        </w:tc>
        <w:tc>
          <w:tcPr>
            <w:tcW w:w="2057" w:type="dxa"/>
            <w:tcBorders>
              <w:top w:val="single" w:color="000000" w:sz="4" w:space="0"/>
              <w:left w:val="single" w:color="000000" w:sz="4" w:space="0"/>
              <w:bottom w:val="single" w:color="000000" w:sz="4" w:space="0"/>
              <w:right w:val="single" w:color="000000" w:sz="4" w:space="0"/>
            </w:tcBorders>
            <w:noWrap/>
            <w:vAlign w:val="center"/>
          </w:tcPr>
          <w:p w14:paraId="493F768A">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资产盘活率</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39F2F75">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3</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23BDC615">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部门闲置一年以上的资产盘活情况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790D830">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3</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6227635C">
            <w:pPr>
              <w:snapToGrid w:val="0"/>
              <w:spacing w:line="240" w:lineRule="exact"/>
              <w:jc w:val="left"/>
              <w:textAlignment w:val="center"/>
              <w:rPr>
                <w:rFonts w:ascii="Times New Roman" w:hAnsi="Times New Roman" w:eastAsia="方正仿宋_GBK"/>
                <w:color w:val="000000"/>
                <w:kern w:val="0"/>
                <w:szCs w:val="21"/>
              </w:rPr>
            </w:pPr>
          </w:p>
        </w:tc>
      </w:tr>
      <w:tr w14:paraId="4E537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0"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33A5B7B0"/>
        </w:tc>
        <w:tc>
          <w:tcPr>
            <w:tcW w:w="1083" w:type="dxa"/>
            <w:vMerge w:val="restart"/>
            <w:tcBorders>
              <w:top w:val="single" w:color="000000" w:sz="4" w:space="0"/>
              <w:left w:val="single" w:color="000000" w:sz="4" w:space="0"/>
              <w:bottom w:val="single" w:color="000000" w:sz="4" w:space="0"/>
              <w:right w:val="single" w:color="000000" w:sz="4" w:space="0"/>
            </w:tcBorders>
            <w:noWrap/>
            <w:vAlign w:val="center"/>
          </w:tcPr>
          <w:p w14:paraId="6E7321C7">
            <w:pPr>
              <w:snapToGrid w:val="0"/>
              <w:spacing w:line="240" w:lineRule="exact"/>
              <w:jc w:val="center"/>
              <w:textAlignment w:val="center"/>
              <w:rPr>
                <w:rFonts w:ascii="Times New Roman" w:hAnsi="Times New Roman" w:eastAsia="方正仿宋_GBK"/>
                <w:b/>
                <w:color w:val="000000"/>
                <w:szCs w:val="21"/>
              </w:rPr>
            </w:pPr>
            <w:r>
              <w:rPr>
                <w:rFonts w:ascii="Times New Roman" w:hAnsi="Times New Roman" w:eastAsia="方正仿宋_GBK"/>
                <w:b/>
                <w:color w:val="000000"/>
                <w:kern w:val="0"/>
                <w:szCs w:val="21"/>
              </w:rPr>
              <w:t>采购管理</w:t>
            </w:r>
            <w:r>
              <w:rPr>
                <w:rFonts w:ascii="Times New Roman" w:hAnsi="Times New Roman" w:eastAsia="方正仿宋_GBK"/>
                <w:b/>
                <w:color w:val="000000"/>
                <w:kern w:val="0"/>
                <w:szCs w:val="21"/>
              </w:rPr>
              <w:br w:type="textWrapping"/>
            </w:r>
            <w:r>
              <w:rPr>
                <w:rFonts w:ascii="Times New Roman" w:hAnsi="Times New Roman" w:eastAsia="方正仿宋_GBK"/>
                <w:b/>
                <w:color w:val="000000"/>
                <w:kern w:val="0"/>
                <w:szCs w:val="21"/>
              </w:rPr>
              <w:t>（6分）</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3535457E">
            <w:pPr>
              <w:snapToGrid w:val="0"/>
              <w:spacing w:line="240" w:lineRule="exac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支持中小企业发展</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790DA3D">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3</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3EA1E7BE">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部门是否严格执行政府采购促进中小企业发展相关管理办法</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258771F4">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3</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15DFDF60">
            <w:pPr>
              <w:snapToGrid w:val="0"/>
              <w:spacing w:line="240" w:lineRule="exact"/>
              <w:jc w:val="left"/>
              <w:textAlignment w:val="center"/>
              <w:rPr>
                <w:rFonts w:ascii="Times New Roman" w:hAnsi="Times New Roman" w:eastAsia="方正仿宋_GBK"/>
                <w:color w:val="000000"/>
                <w:kern w:val="0"/>
                <w:szCs w:val="21"/>
              </w:rPr>
            </w:pPr>
          </w:p>
        </w:tc>
      </w:tr>
      <w:tr w14:paraId="61C1C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030057F1"/>
        </w:tc>
        <w:tc>
          <w:tcPr>
            <w:tcW w:w="1083" w:type="dxa"/>
            <w:vMerge w:val="continue"/>
            <w:tcBorders>
              <w:top w:val="single" w:color="000000" w:sz="4" w:space="0"/>
              <w:left w:val="single" w:color="000000" w:sz="4" w:space="0"/>
              <w:bottom w:val="single" w:color="000000" w:sz="4" w:space="0"/>
              <w:right w:val="single" w:color="000000" w:sz="4" w:space="0"/>
            </w:tcBorders>
            <w:noWrap/>
            <w:vAlign w:val="center"/>
          </w:tcPr>
          <w:p w14:paraId="31056527"/>
        </w:tc>
        <w:tc>
          <w:tcPr>
            <w:tcW w:w="2057" w:type="dxa"/>
            <w:tcBorders>
              <w:top w:val="single" w:color="000000" w:sz="4" w:space="0"/>
              <w:left w:val="single" w:color="000000" w:sz="4" w:space="0"/>
              <w:bottom w:val="single" w:color="000000" w:sz="4" w:space="0"/>
              <w:right w:val="single" w:color="000000" w:sz="4" w:space="0"/>
            </w:tcBorders>
            <w:noWrap/>
            <w:vAlign w:val="center"/>
          </w:tcPr>
          <w:p w14:paraId="41E1B31A">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采购执行率</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D05D6D0">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3</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2326B95A">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部门政府采购项目资金支付比例情况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3212917C">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3</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64CAA6A0">
            <w:pPr>
              <w:snapToGrid w:val="0"/>
              <w:spacing w:line="240" w:lineRule="exact"/>
              <w:jc w:val="left"/>
              <w:textAlignment w:val="center"/>
              <w:rPr>
                <w:rFonts w:ascii="Times New Roman" w:hAnsi="Times New Roman" w:eastAsia="方正仿宋_GBK"/>
                <w:color w:val="000000"/>
                <w:kern w:val="0"/>
                <w:szCs w:val="21"/>
              </w:rPr>
            </w:pPr>
          </w:p>
        </w:tc>
      </w:tr>
      <w:tr w14:paraId="50E0D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74" w:type="dxa"/>
            <w:vMerge w:val="restart"/>
            <w:tcBorders>
              <w:top w:val="single" w:color="000000" w:sz="4" w:space="0"/>
              <w:left w:val="single" w:color="000000" w:sz="4" w:space="0"/>
              <w:bottom w:val="single" w:color="000000" w:sz="4" w:space="0"/>
              <w:right w:val="single" w:color="000000" w:sz="4" w:space="0"/>
            </w:tcBorders>
            <w:noWrap/>
            <w:vAlign w:val="center"/>
          </w:tcPr>
          <w:p w14:paraId="5661A2AE">
            <w:pPr>
              <w:snapToGrid w:val="0"/>
              <w:spacing w:line="240" w:lineRule="exact"/>
              <w:jc w:val="center"/>
              <w:textAlignment w:val="center"/>
              <w:rPr>
                <w:rFonts w:ascii="Times New Roman" w:hAnsi="Times New Roman" w:eastAsia="方正仿宋_GBK"/>
                <w:b/>
                <w:color w:val="000000"/>
                <w:szCs w:val="21"/>
              </w:rPr>
            </w:pPr>
            <w:r>
              <w:rPr>
                <w:rFonts w:ascii="Times New Roman" w:hAnsi="Times New Roman" w:eastAsia="方正仿宋_GBK"/>
                <w:b/>
                <w:color w:val="000000"/>
                <w:kern w:val="0"/>
                <w:szCs w:val="21"/>
              </w:rPr>
              <w:t>项目绩效（35分）</w:t>
            </w:r>
          </w:p>
        </w:tc>
        <w:tc>
          <w:tcPr>
            <w:tcW w:w="1083" w:type="dxa"/>
            <w:vMerge w:val="restart"/>
            <w:tcBorders>
              <w:top w:val="single" w:color="000000" w:sz="4" w:space="0"/>
              <w:left w:val="single" w:color="000000" w:sz="4" w:space="0"/>
              <w:bottom w:val="nil"/>
              <w:right w:val="single" w:color="000000" w:sz="4" w:space="0"/>
            </w:tcBorders>
            <w:noWrap/>
            <w:vAlign w:val="center"/>
          </w:tcPr>
          <w:p w14:paraId="7B7737EE">
            <w:pPr>
              <w:snapToGrid w:val="0"/>
              <w:spacing w:line="240" w:lineRule="exact"/>
              <w:jc w:val="center"/>
              <w:textAlignment w:val="center"/>
              <w:rPr>
                <w:rFonts w:ascii="Times New Roman" w:hAnsi="Times New Roman" w:eastAsia="方正仿宋_GBK"/>
                <w:b/>
                <w:color w:val="000000"/>
                <w:szCs w:val="21"/>
              </w:rPr>
            </w:pPr>
            <w:r>
              <w:rPr>
                <w:rFonts w:ascii="Times New Roman" w:hAnsi="Times New Roman" w:eastAsia="方正仿宋_GBK"/>
                <w:b/>
                <w:color w:val="000000"/>
                <w:kern w:val="0"/>
                <w:szCs w:val="21"/>
              </w:rPr>
              <w:t>项目决策</w:t>
            </w:r>
            <w:r>
              <w:rPr>
                <w:rFonts w:ascii="Times New Roman" w:hAnsi="Times New Roman" w:eastAsia="方正仿宋_GBK"/>
                <w:b/>
                <w:color w:val="000000"/>
                <w:kern w:val="0"/>
                <w:szCs w:val="21"/>
              </w:rPr>
              <w:br w:type="textWrapping"/>
            </w:r>
            <w:r>
              <w:rPr>
                <w:rFonts w:ascii="Times New Roman" w:hAnsi="Times New Roman" w:eastAsia="方正仿宋_GBK"/>
                <w:b/>
                <w:color w:val="000000"/>
                <w:kern w:val="0"/>
                <w:szCs w:val="21"/>
              </w:rPr>
              <w:t>（12分）</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76CEA8B2">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决策程序</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87CB73D">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4</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3AB92EAF">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部门预算项目设立是否按规定履行评估论证、申报程序</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7DD1E7E8">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4</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2BDCE12B">
            <w:pPr>
              <w:snapToGrid w:val="0"/>
              <w:spacing w:line="240" w:lineRule="exact"/>
              <w:jc w:val="left"/>
              <w:textAlignment w:val="center"/>
              <w:rPr>
                <w:rFonts w:ascii="Times New Roman" w:hAnsi="Times New Roman" w:eastAsia="方正仿宋_GBK"/>
                <w:color w:val="000000"/>
                <w:kern w:val="0"/>
                <w:szCs w:val="21"/>
              </w:rPr>
            </w:pPr>
          </w:p>
        </w:tc>
      </w:tr>
      <w:tr w14:paraId="69673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472CE66C"/>
        </w:tc>
        <w:tc>
          <w:tcPr>
            <w:tcW w:w="1083" w:type="dxa"/>
            <w:vMerge w:val="continue"/>
            <w:tcBorders>
              <w:top w:val="single" w:color="000000" w:sz="4" w:space="0"/>
              <w:left w:val="single" w:color="000000" w:sz="4" w:space="0"/>
              <w:bottom w:val="nil"/>
              <w:right w:val="single" w:color="000000" w:sz="4" w:space="0"/>
            </w:tcBorders>
            <w:noWrap/>
            <w:vAlign w:val="center"/>
          </w:tcPr>
          <w:p w14:paraId="1D287592"/>
        </w:tc>
        <w:tc>
          <w:tcPr>
            <w:tcW w:w="2057" w:type="dxa"/>
            <w:tcBorders>
              <w:top w:val="single" w:color="000000" w:sz="4" w:space="0"/>
              <w:left w:val="single" w:color="000000" w:sz="4" w:space="0"/>
              <w:bottom w:val="single" w:color="000000" w:sz="4" w:space="0"/>
              <w:right w:val="single" w:color="000000" w:sz="4" w:space="0"/>
            </w:tcBorders>
            <w:noWrap/>
            <w:vAlign w:val="center"/>
          </w:tcPr>
          <w:p w14:paraId="16571CCD">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目标设置</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6EC47F6">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4</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1385E315">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部门预算项目绩效目标与计划期内的任务量、预算安排的资金量匹配情况，绩效目标设置是否科学合理、规范完整、量化细化、预算匹配</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3341B267">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4</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1D7D572D">
            <w:pPr>
              <w:snapToGrid w:val="0"/>
              <w:spacing w:line="240" w:lineRule="exact"/>
              <w:jc w:val="left"/>
              <w:textAlignment w:val="center"/>
              <w:rPr>
                <w:rFonts w:ascii="Times New Roman" w:hAnsi="Times New Roman" w:eastAsia="方正仿宋_GBK"/>
                <w:color w:val="000000"/>
                <w:kern w:val="0"/>
                <w:szCs w:val="21"/>
              </w:rPr>
            </w:pPr>
          </w:p>
        </w:tc>
      </w:tr>
      <w:tr w14:paraId="13540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226613A4"/>
        </w:tc>
        <w:tc>
          <w:tcPr>
            <w:tcW w:w="1083" w:type="dxa"/>
            <w:vMerge w:val="continue"/>
            <w:tcBorders>
              <w:top w:val="single" w:color="000000" w:sz="4" w:space="0"/>
              <w:left w:val="single" w:color="000000" w:sz="4" w:space="0"/>
              <w:bottom w:val="nil"/>
              <w:right w:val="single" w:color="000000" w:sz="4" w:space="0"/>
            </w:tcBorders>
            <w:noWrap/>
            <w:vAlign w:val="center"/>
          </w:tcPr>
          <w:p w14:paraId="01C5BFA1"/>
        </w:tc>
        <w:tc>
          <w:tcPr>
            <w:tcW w:w="2057" w:type="dxa"/>
            <w:tcBorders>
              <w:top w:val="single" w:color="000000" w:sz="4" w:space="0"/>
              <w:left w:val="single" w:color="000000" w:sz="4" w:space="0"/>
              <w:bottom w:val="single" w:color="000000" w:sz="4" w:space="0"/>
              <w:right w:val="single" w:color="000000" w:sz="4" w:space="0"/>
            </w:tcBorders>
            <w:noWrap/>
            <w:vAlign w:val="center"/>
          </w:tcPr>
          <w:p w14:paraId="16E513DA">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项目入库</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72CF1901">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4</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65C3B06B">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部门预算项目是否在规定时</w:t>
            </w:r>
            <w:r>
              <w:rPr>
                <w:rFonts w:hint="eastAsia" w:eastAsia="方正仿宋_GBK"/>
                <w:color w:val="000000"/>
                <w:kern w:val="0"/>
                <w:szCs w:val="21"/>
                <w:lang w:eastAsia="zh-CN"/>
              </w:rPr>
              <w:t>间内</w:t>
            </w:r>
            <w:r>
              <w:rPr>
                <w:rFonts w:ascii="Times New Roman" w:hAnsi="Times New Roman" w:eastAsia="方正仿宋_GBK"/>
                <w:color w:val="000000"/>
                <w:kern w:val="0"/>
                <w:szCs w:val="21"/>
              </w:rPr>
              <w:t>完成项目入库</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02F7779">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4</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25486932">
            <w:pPr>
              <w:snapToGrid w:val="0"/>
              <w:spacing w:line="240" w:lineRule="exact"/>
              <w:jc w:val="left"/>
              <w:textAlignment w:val="center"/>
              <w:rPr>
                <w:rFonts w:ascii="Times New Roman" w:hAnsi="Times New Roman" w:eastAsia="方正仿宋_GBK"/>
                <w:color w:val="000000"/>
                <w:kern w:val="0"/>
                <w:szCs w:val="21"/>
              </w:rPr>
            </w:pPr>
          </w:p>
        </w:tc>
      </w:tr>
      <w:tr w14:paraId="60B9D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05D98AF6"/>
        </w:tc>
        <w:tc>
          <w:tcPr>
            <w:tcW w:w="1083" w:type="dxa"/>
            <w:vMerge w:val="restart"/>
            <w:tcBorders>
              <w:top w:val="single" w:color="000000" w:sz="4" w:space="0"/>
              <w:left w:val="single" w:color="000000" w:sz="4" w:space="0"/>
              <w:bottom w:val="nil"/>
              <w:right w:val="single" w:color="000000" w:sz="4" w:space="0"/>
            </w:tcBorders>
            <w:noWrap/>
            <w:vAlign w:val="center"/>
          </w:tcPr>
          <w:p w14:paraId="27E00809">
            <w:pPr>
              <w:snapToGrid w:val="0"/>
              <w:spacing w:line="240" w:lineRule="exact"/>
              <w:jc w:val="center"/>
              <w:textAlignment w:val="center"/>
              <w:rPr>
                <w:rFonts w:ascii="Times New Roman" w:hAnsi="Times New Roman" w:eastAsia="方正仿宋_GBK"/>
                <w:b/>
                <w:color w:val="000000"/>
                <w:szCs w:val="21"/>
              </w:rPr>
            </w:pPr>
            <w:r>
              <w:rPr>
                <w:rFonts w:ascii="Times New Roman" w:hAnsi="Times New Roman" w:eastAsia="方正仿宋_GBK"/>
                <w:b/>
                <w:color w:val="000000"/>
                <w:kern w:val="0"/>
                <w:szCs w:val="21"/>
              </w:rPr>
              <w:t>项目执行</w:t>
            </w:r>
            <w:r>
              <w:rPr>
                <w:rFonts w:ascii="Times New Roman" w:hAnsi="Times New Roman" w:eastAsia="方正仿宋_GBK"/>
                <w:b/>
                <w:color w:val="000000"/>
                <w:kern w:val="0"/>
                <w:szCs w:val="21"/>
              </w:rPr>
              <w:br w:type="textWrapping"/>
            </w:r>
            <w:r>
              <w:rPr>
                <w:rFonts w:ascii="Times New Roman" w:hAnsi="Times New Roman" w:eastAsia="方正仿宋_GBK"/>
                <w:b/>
                <w:color w:val="000000"/>
                <w:kern w:val="0"/>
                <w:szCs w:val="21"/>
              </w:rPr>
              <w:t>（12分）</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6E991F37">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执行同向</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6660C02">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4</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07CED6ED">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部门预算项目实际列支内容是否与绩效目标设置方向相符</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737EB12">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4</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42A223E9">
            <w:pPr>
              <w:snapToGrid w:val="0"/>
              <w:spacing w:line="240" w:lineRule="exact"/>
              <w:jc w:val="left"/>
              <w:textAlignment w:val="center"/>
              <w:rPr>
                <w:rFonts w:ascii="Times New Roman" w:hAnsi="Times New Roman" w:eastAsia="方正仿宋_GBK"/>
                <w:color w:val="000000"/>
                <w:kern w:val="0"/>
                <w:szCs w:val="21"/>
              </w:rPr>
            </w:pPr>
          </w:p>
        </w:tc>
      </w:tr>
      <w:tr w14:paraId="3E5C1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7BB4EC1B"/>
        </w:tc>
        <w:tc>
          <w:tcPr>
            <w:tcW w:w="1083" w:type="dxa"/>
            <w:vMerge w:val="continue"/>
            <w:tcBorders>
              <w:top w:val="single" w:color="000000" w:sz="4" w:space="0"/>
              <w:left w:val="single" w:color="000000" w:sz="4" w:space="0"/>
              <w:bottom w:val="nil"/>
              <w:right w:val="single" w:color="000000" w:sz="4" w:space="0"/>
            </w:tcBorders>
            <w:noWrap/>
            <w:vAlign w:val="center"/>
          </w:tcPr>
          <w:p w14:paraId="64A809B6"/>
        </w:tc>
        <w:tc>
          <w:tcPr>
            <w:tcW w:w="2057" w:type="dxa"/>
            <w:tcBorders>
              <w:top w:val="single" w:color="000000" w:sz="4" w:space="0"/>
              <w:left w:val="single" w:color="000000" w:sz="4" w:space="0"/>
              <w:bottom w:val="nil"/>
              <w:right w:val="single" w:color="000000" w:sz="4" w:space="0"/>
            </w:tcBorders>
            <w:noWrap/>
            <w:vAlign w:val="center"/>
          </w:tcPr>
          <w:p w14:paraId="14FCD0A6">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项目调整</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E414733">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4</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19855A53">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部门预算项目是否采取对应调整措施</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6C558B24">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4</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28A5D2CA">
            <w:pPr>
              <w:snapToGrid w:val="0"/>
              <w:spacing w:line="240" w:lineRule="exact"/>
              <w:jc w:val="left"/>
              <w:textAlignment w:val="center"/>
              <w:rPr>
                <w:rFonts w:ascii="Times New Roman" w:hAnsi="Times New Roman" w:eastAsia="方正仿宋_GBK"/>
                <w:color w:val="000000"/>
                <w:kern w:val="0"/>
                <w:szCs w:val="21"/>
              </w:rPr>
            </w:pPr>
          </w:p>
        </w:tc>
      </w:tr>
      <w:tr w14:paraId="4C104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641F56A1"/>
        </w:tc>
        <w:tc>
          <w:tcPr>
            <w:tcW w:w="1083" w:type="dxa"/>
            <w:vMerge w:val="continue"/>
            <w:tcBorders>
              <w:top w:val="single" w:color="000000" w:sz="4" w:space="0"/>
              <w:left w:val="single" w:color="000000" w:sz="4" w:space="0"/>
              <w:bottom w:val="nil"/>
              <w:right w:val="single" w:color="000000" w:sz="4" w:space="0"/>
            </w:tcBorders>
            <w:noWrap/>
            <w:vAlign w:val="center"/>
          </w:tcPr>
          <w:p w14:paraId="79C9591E"/>
        </w:tc>
        <w:tc>
          <w:tcPr>
            <w:tcW w:w="2057" w:type="dxa"/>
            <w:tcBorders>
              <w:top w:val="single" w:color="000000" w:sz="4" w:space="0"/>
              <w:left w:val="single" w:color="000000" w:sz="4" w:space="0"/>
              <w:bottom w:val="single" w:color="000000" w:sz="4" w:space="0"/>
              <w:right w:val="single" w:color="000000" w:sz="4" w:space="0"/>
            </w:tcBorders>
            <w:noWrap/>
            <w:vAlign w:val="center"/>
          </w:tcPr>
          <w:p w14:paraId="2CB7318E">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执行结果</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0BAD7E43">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4</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0BBB7CC8">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部门预算项目预算执行情况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09EBCA28">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4</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2E5E1A31">
            <w:pPr>
              <w:snapToGrid w:val="0"/>
              <w:spacing w:line="240" w:lineRule="exact"/>
              <w:jc w:val="left"/>
              <w:textAlignment w:val="center"/>
              <w:rPr>
                <w:rFonts w:ascii="Times New Roman" w:hAnsi="Times New Roman" w:eastAsia="方正仿宋_GBK"/>
                <w:color w:val="000000"/>
                <w:kern w:val="0"/>
                <w:szCs w:val="21"/>
              </w:rPr>
            </w:pPr>
          </w:p>
        </w:tc>
      </w:tr>
      <w:tr w14:paraId="0A20A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267D7EC0"/>
        </w:tc>
        <w:tc>
          <w:tcPr>
            <w:tcW w:w="1083" w:type="dxa"/>
            <w:vMerge w:val="restart"/>
            <w:tcBorders>
              <w:top w:val="single" w:color="000000" w:sz="4" w:space="0"/>
              <w:left w:val="single" w:color="000000" w:sz="4" w:space="0"/>
              <w:bottom w:val="single" w:color="000000" w:sz="4" w:space="0"/>
              <w:right w:val="single" w:color="000000" w:sz="4" w:space="0"/>
            </w:tcBorders>
            <w:noWrap/>
            <w:vAlign w:val="center"/>
          </w:tcPr>
          <w:p w14:paraId="55F011ED">
            <w:pPr>
              <w:snapToGrid w:val="0"/>
              <w:spacing w:line="240" w:lineRule="exact"/>
              <w:jc w:val="center"/>
              <w:textAlignment w:val="center"/>
              <w:rPr>
                <w:rFonts w:ascii="Times New Roman" w:hAnsi="Times New Roman" w:eastAsia="方正仿宋_GBK"/>
                <w:b/>
                <w:color w:val="000000"/>
                <w:szCs w:val="21"/>
              </w:rPr>
            </w:pPr>
            <w:r>
              <w:rPr>
                <w:rFonts w:ascii="Times New Roman" w:hAnsi="Times New Roman" w:eastAsia="方正仿宋_GBK"/>
                <w:b/>
                <w:color w:val="000000"/>
                <w:kern w:val="0"/>
                <w:szCs w:val="21"/>
              </w:rPr>
              <w:t>目标实现</w:t>
            </w:r>
            <w:r>
              <w:rPr>
                <w:rFonts w:ascii="Times New Roman" w:hAnsi="Times New Roman" w:eastAsia="方正仿宋_GBK"/>
                <w:b/>
                <w:color w:val="000000"/>
                <w:kern w:val="0"/>
                <w:szCs w:val="21"/>
              </w:rPr>
              <w:br w:type="textWrapping"/>
            </w:r>
            <w:r>
              <w:rPr>
                <w:rFonts w:ascii="Times New Roman" w:hAnsi="Times New Roman" w:eastAsia="方正仿宋_GBK"/>
                <w:b/>
                <w:color w:val="000000"/>
                <w:kern w:val="0"/>
                <w:szCs w:val="21"/>
              </w:rPr>
              <w:t>（11分）</w:t>
            </w:r>
          </w:p>
        </w:tc>
        <w:tc>
          <w:tcPr>
            <w:tcW w:w="2057" w:type="dxa"/>
            <w:tcBorders>
              <w:top w:val="single" w:color="000000" w:sz="4" w:space="0"/>
              <w:left w:val="single" w:color="000000" w:sz="4" w:space="0"/>
              <w:bottom w:val="single" w:color="000000" w:sz="4" w:space="0"/>
              <w:right w:val="single" w:color="000000" w:sz="4" w:space="0"/>
            </w:tcBorders>
            <w:noWrap/>
            <w:vAlign w:val="center"/>
          </w:tcPr>
          <w:p w14:paraId="759B9382">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目标完成</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6126510C">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4</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0BF4E51D">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部门预算项目绩效目标数量指标完成情况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7A789EBC">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4</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15734BB6">
            <w:pPr>
              <w:snapToGrid w:val="0"/>
              <w:spacing w:line="240" w:lineRule="exact"/>
              <w:jc w:val="left"/>
              <w:textAlignment w:val="center"/>
              <w:rPr>
                <w:rFonts w:ascii="Times New Roman" w:hAnsi="Times New Roman" w:eastAsia="方正仿宋_GBK"/>
                <w:color w:val="000000"/>
                <w:kern w:val="0"/>
                <w:szCs w:val="21"/>
              </w:rPr>
            </w:pPr>
          </w:p>
        </w:tc>
      </w:tr>
      <w:tr w14:paraId="5B47D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1AA04DA5"/>
        </w:tc>
        <w:tc>
          <w:tcPr>
            <w:tcW w:w="1083" w:type="dxa"/>
            <w:vMerge w:val="continue"/>
            <w:tcBorders>
              <w:top w:val="single" w:color="000000" w:sz="4" w:space="0"/>
              <w:left w:val="single" w:color="000000" w:sz="4" w:space="0"/>
              <w:bottom w:val="single" w:color="000000" w:sz="4" w:space="0"/>
              <w:right w:val="single" w:color="000000" w:sz="4" w:space="0"/>
            </w:tcBorders>
            <w:noWrap/>
            <w:vAlign w:val="center"/>
          </w:tcPr>
          <w:p w14:paraId="0EBFF422"/>
        </w:tc>
        <w:tc>
          <w:tcPr>
            <w:tcW w:w="2057" w:type="dxa"/>
            <w:tcBorders>
              <w:top w:val="single" w:color="000000" w:sz="4" w:space="0"/>
              <w:left w:val="single" w:color="000000" w:sz="4" w:space="0"/>
              <w:bottom w:val="single" w:color="000000" w:sz="4" w:space="0"/>
              <w:right w:val="single" w:color="000000" w:sz="4" w:space="0"/>
            </w:tcBorders>
            <w:noWrap/>
            <w:vAlign w:val="center"/>
          </w:tcPr>
          <w:p w14:paraId="333F53EB">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目标偏离</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57D23E52">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4</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18BD51C7">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部门预算项目绩效目标数量指标实现程度与预期目标的偏离情况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EDCB42D">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4</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2FB12B13">
            <w:pPr>
              <w:snapToGrid w:val="0"/>
              <w:spacing w:line="240" w:lineRule="exact"/>
              <w:jc w:val="left"/>
              <w:textAlignment w:val="center"/>
              <w:rPr>
                <w:rFonts w:ascii="Times New Roman" w:hAnsi="Times New Roman" w:eastAsia="方正仿宋_GBK"/>
                <w:color w:val="000000"/>
                <w:kern w:val="0"/>
                <w:szCs w:val="21"/>
              </w:rPr>
            </w:pPr>
          </w:p>
        </w:tc>
      </w:tr>
      <w:tr w14:paraId="04A09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jc w:val="center"/>
        </w:trPr>
        <w:tc>
          <w:tcPr>
            <w:tcW w:w="874" w:type="dxa"/>
            <w:vMerge w:val="continue"/>
            <w:tcBorders>
              <w:top w:val="single" w:color="000000" w:sz="4" w:space="0"/>
              <w:left w:val="single" w:color="000000" w:sz="4" w:space="0"/>
              <w:bottom w:val="single" w:color="000000" w:sz="4" w:space="0"/>
              <w:right w:val="single" w:color="000000" w:sz="4" w:space="0"/>
            </w:tcBorders>
            <w:noWrap/>
            <w:vAlign w:val="center"/>
          </w:tcPr>
          <w:p w14:paraId="473B3AE5"/>
        </w:tc>
        <w:tc>
          <w:tcPr>
            <w:tcW w:w="1083" w:type="dxa"/>
            <w:vMerge w:val="continue"/>
            <w:tcBorders>
              <w:top w:val="single" w:color="000000" w:sz="4" w:space="0"/>
              <w:left w:val="single" w:color="000000" w:sz="4" w:space="0"/>
              <w:bottom w:val="single" w:color="000000" w:sz="4" w:space="0"/>
              <w:right w:val="single" w:color="000000" w:sz="4" w:space="0"/>
            </w:tcBorders>
            <w:noWrap/>
            <w:vAlign w:val="center"/>
          </w:tcPr>
          <w:p w14:paraId="019C733C"/>
        </w:tc>
        <w:tc>
          <w:tcPr>
            <w:tcW w:w="2057" w:type="dxa"/>
            <w:tcBorders>
              <w:top w:val="single" w:color="000000" w:sz="4" w:space="0"/>
              <w:left w:val="single" w:color="000000" w:sz="4" w:space="0"/>
              <w:bottom w:val="single" w:color="000000" w:sz="4" w:space="0"/>
              <w:right w:val="single" w:color="000000" w:sz="4" w:space="0"/>
            </w:tcBorders>
            <w:noWrap/>
            <w:vAlign w:val="center"/>
          </w:tcPr>
          <w:p w14:paraId="7C9A881D">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实现效果</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3BE70C2">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3</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4C8F7AF3">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部门预算项目绩效目标效益指标实施效果</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5AE8583E">
            <w:pPr>
              <w:snapToGrid w:val="0"/>
              <w:spacing w:line="240" w:lineRule="exact"/>
              <w:jc w:val="center"/>
              <w:textAlignment w:val="center"/>
              <w:rPr>
                <w:rFonts w:ascii="Times New Roman" w:hAnsi="Times New Roman" w:eastAsia="方正仿宋_GBK"/>
                <w:color w:val="000000"/>
                <w:kern w:val="0"/>
                <w:szCs w:val="21"/>
              </w:rPr>
            </w:pPr>
            <w:r>
              <w:rPr>
                <w:rFonts w:ascii="Times New Roman" w:hAnsi="Times New Roman" w:eastAsia="方正仿宋_GBK"/>
                <w:color w:val="000000"/>
                <w:kern w:val="0"/>
                <w:szCs w:val="21"/>
              </w:rPr>
              <w:t>3</w:t>
            </w: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063D9208">
            <w:pPr>
              <w:snapToGrid w:val="0"/>
              <w:spacing w:line="240" w:lineRule="exact"/>
              <w:jc w:val="left"/>
              <w:textAlignment w:val="center"/>
              <w:rPr>
                <w:rFonts w:ascii="Times New Roman" w:hAnsi="Times New Roman" w:eastAsia="方正仿宋_GBK"/>
                <w:color w:val="000000"/>
                <w:kern w:val="0"/>
                <w:szCs w:val="21"/>
              </w:rPr>
            </w:pPr>
          </w:p>
        </w:tc>
      </w:tr>
      <w:tr w14:paraId="67C0F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874" w:type="dxa"/>
            <w:tcBorders>
              <w:top w:val="single" w:color="000000" w:sz="4" w:space="0"/>
              <w:left w:val="single" w:color="000000" w:sz="4" w:space="0"/>
              <w:bottom w:val="single" w:color="000000" w:sz="4" w:space="0"/>
              <w:right w:val="single" w:color="000000" w:sz="4" w:space="0"/>
            </w:tcBorders>
            <w:noWrap/>
            <w:vAlign w:val="center"/>
          </w:tcPr>
          <w:p w14:paraId="47966E2A">
            <w:pPr>
              <w:snapToGrid w:val="0"/>
              <w:spacing w:line="240" w:lineRule="exact"/>
              <w:jc w:val="center"/>
              <w:textAlignment w:val="center"/>
              <w:rPr>
                <w:rFonts w:ascii="Times New Roman" w:hAnsi="Times New Roman" w:eastAsia="方正仿宋_GBK"/>
                <w:b/>
                <w:color w:val="000000"/>
                <w:szCs w:val="21"/>
              </w:rPr>
            </w:pPr>
            <w:r>
              <w:rPr>
                <w:rFonts w:ascii="Times New Roman" w:hAnsi="Times New Roman" w:eastAsia="方正仿宋_GBK"/>
                <w:b/>
                <w:color w:val="000000"/>
                <w:kern w:val="0"/>
                <w:szCs w:val="21"/>
              </w:rPr>
              <w:t>扣分项（10分）</w:t>
            </w:r>
          </w:p>
        </w:tc>
        <w:tc>
          <w:tcPr>
            <w:tcW w:w="3140" w:type="dxa"/>
            <w:gridSpan w:val="2"/>
            <w:tcBorders>
              <w:top w:val="single" w:color="000000" w:sz="4" w:space="0"/>
              <w:left w:val="single" w:color="000000" w:sz="4" w:space="0"/>
              <w:bottom w:val="single" w:color="000000" w:sz="4" w:space="0"/>
              <w:right w:val="single" w:color="000000" w:sz="4" w:space="0"/>
            </w:tcBorders>
            <w:noWrap/>
            <w:vAlign w:val="center"/>
          </w:tcPr>
          <w:p w14:paraId="12EFAD48">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被评价部门配合度</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1AF786DB">
            <w:pPr>
              <w:snapToGrid w:val="0"/>
              <w:spacing w:line="240" w:lineRule="exact"/>
              <w:jc w:val="center"/>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w:t>
            </w:r>
          </w:p>
        </w:tc>
        <w:tc>
          <w:tcPr>
            <w:tcW w:w="4345" w:type="dxa"/>
            <w:tcBorders>
              <w:top w:val="single" w:color="000000" w:sz="4" w:space="0"/>
              <w:left w:val="single" w:color="000000" w:sz="4" w:space="0"/>
              <w:bottom w:val="single" w:color="000000" w:sz="4" w:space="0"/>
              <w:right w:val="single" w:color="000000" w:sz="4" w:space="0"/>
            </w:tcBorders>
            <w:noWrap/>
            <w:vAlign w:val="center"/>
          </w:tcPr>
          <w:p w14:paraId="28155114">
            <w:pPr>
              <w:snapToGrid w:val="0"/>
              <w:spacing w:line="240" w:lineRule="exact"/>
              <w:jc w:val="left"/>
              <w:textAlignment w:val="center"/>
              <w:rPr>
                <w:rFonts w:ascii="Times New Roman" w:hAnsi="Times New Roman" w:eastAsia="方正仿宋_GBK"/>
                <w:color w:val="000000"/>
                <w:szCs w:val="21"/>
              </w:rPr>
            </w:pPr>
            <w:r>
              <w:rPr>
                <w:rFonts w:ascii="Times New Roman" w:hAnsi="Times New Roman" w:eastAsia="方正仿宋_GBK"/>
                <w:color w:val="000000"/>
                <w:kern w:val="0"/>
                <w:szCs w:val="21"/>
              </w:rPr>
              <w:t>被评价对象工作配合情况</w:t>
            </w:r>
          </w:p>
        </w:tc>
        <w:tc>
          <w:tcPr>
            <w:tcW w:w="690" w:type="dxa"/>
            <w:tcBorders>
              <w:top w:val="single" w:color="000000" w:sz="4" w:space="0"/>
              <w:left w:val="single" w:color="000000" w:sz="4" w:space="0"/>
              <w:bottom w:val="single" w:color="000000" w:sz="4" w:space="0"/>
              <w:right w:val="single" w:color="000000" w:sz="4" w:space="0"/>
            </w:tcBorders>
            <w:noWrap/>
            <w:vAlign w:val="center"/>
          </w:tcPr>
          <w:p w14:paraId="37340706">
            <w:pPr>
              <w:snapToGrid w:val="0"/>
              <w:spacing w:line="240" w:lineRule="exact"/>
              <w:jc w:val="center"/>
              <w:textAlignment w:val="center"/>
              <w:rPr>
                <w:rFonts w:ascii="Times New Roman" w:hAnsi="Times New Roman" w:eastAsia="方正仿宋_GBK"/>
                <w:color w:val="000000"/>
                <w:kern w:val="0"/>
                <w:szCs w:val="21"/>
              </w:rPr>
            </w:pPr>
          </w:p>
        </w:tc>
        <w:tc>
          <w:tcPr>
            <w:tcW w:w="470" w:type="dxa"/>
            <w:tcBorders>
              <w:top w:val="single" w:color="000000" w:sz="4" w:space="0"/>
              <w:left w:val="single" w:color="000000" w:sz="4" w:space="0"/>
              <w:bottom w:val="single" w:color="000000" w:sz="4" w:space="0"/>
              <w:right w:val="single" w:color="000000" w:sz="4" w:space="0"/>
            </w:tcBorders>
            <w:noWrap/>
            <w:vAlign w:val="center"/>
          </w:tcPr>
          <w:p w14:paraId="7E9599D7">
            <w:pPr>
              <w:snapToGrid w:val="0"/>
              <w:spacing w:line="240" w:lineRule="exact"/>
              <w:jc w:val="left"/>
              <w:textAlignment w:val="center"/>
              <w:rPr>
                <w:rFonts w:ascii="Times New Roman" w:hAnsi="Times New Roman" w:eastAsia="方正仿宋_GBK"/>
                <w:color w:val="000000"/>
                <w:kern w:val="0"/>
                <w:szCs w:val="21"/>
              </w:rPr>
            </w:pPr>
          </w:p>
        </w:tc>
      </w:tr>
    </w:tbl>
    <w:p w14:paraId="250D6B32">
      <w:pPr>
        <w:pStyle w:val="3"/>
        <w:keepNext w:val="0"/>
        <w:keepLines w:val="0"/>
        <w:pageBreakBefore w:val="0"/>
        <w:widowControl w:val="0"/>
        <w:kinsoku/>
        <w:wordWrap/>
        <w:overflowPunct/>
        <w:topLinePunct w:val="0"/>
        <w:autoSpaceDE/>
        <w:autoSpaceDN/>
        <w:bidi w:val="0"/>
        <w:spacing w:line="560" w:lineRule="exact"/>
        <w:textAlignment w:val="auto"/>
        <w:rPr>
          <w:rFonts w:ascii="Times New Roman" w:hAnsi="Times New Roman" w:cs="Times New Roman"/>
          <w:sz w:val="32"/>
          <w:szCs w:val="32"/>
          <w:highlight w:val="yellow"/>
          <w:lang w:val="zh-CN" w:eastAsia="zh-CN"/>
        </w:rPr>
      </w:pPr>
    </w:p>
    <w:p w14:paraId="39EA01B8">
      <w:pPr>
        <w:keepNext w:val="0"/>
        <w:keepLines w:val="0"/>
        <w:pageBreakBefore w:val="0"/>
        <w:widowControl w:val="0"/>
        <w:suppressLineNumbers w:val="0"/>
        <w:suppressAutoHyphens w:val="0"/>
        <w:bidi w:val="0"/>
      </w:pPr>
    </w:p>
    <w:p w14:paraId="1B4E4BAB">
      <w:pPr>
        <w:pStyle w:val="2"/>
        <w:keepNext w:val="0"/>
        <w:keepLines w:val="0"/>
        <w:pageBreakBefore w:val="0"/>
        <w:widowControl w:val="0"/>
        <w:suppressLineNumbers w:val="0"/>
        <w:suppressAutoHyphens w:val="0"/>
        <w:bidi w:val="0"/>
      </w:pPr>
    </w:p>
    <w:p w14:paraId="6ED071AA">
      <w:pPr>
        <w:pStyle w:val="3"/>
        <w:keepNext w:val="0"/>
        <w:keepLines w:val="0"/>
        <w:pageBreakBefore w:val="0"/>
        <w:widowControl w:val="0"/>
        <w:suppressLineNumbers w:val="0"/>
        <w:suppressAutoHyphens w:val="0"/>
        <w:bidi w:val="0"/>
        <w:ind w:left="0" w:leftChars="0" w:firstLine="0" w:firstLineChars="0"/>
        <w:rPr>
          <w:rFonts w:ascii="Times New Roman" w:hAnsi="Times New Roman" w:eastAsia="黑体"/>
          <w:sz w:val="32"/>
        </w:rPr>
      </w:pPr>
      <w:r>
        <w:rPr>
          <w:rFonts w:ascii="Times New Roman" w:hAnsi="Times New Roman" w:eastAsia="黑体"/>
          <w:sz w:val="32"/>
        </w:rPr>
        <w:t>表2</w:t>
      </w:r>
    </w:p>
    <w:p w14:paraId="366A4F2B">
      <w:pPr>
        <w:pStyle w:val="3"/>
        <w:keepNext w:val="0"/>
        <w:keepLines w:val="0"/>
        <w:pageBreakBefore w:val="0"/>
        <w:widowControl w:val="0"/>
        <w:suppressLineNumbers w:val="0"/>
        <w:suppressAutoHyphens w:val="0"/>
        <w:bidi w:val="0"/>
        <w:ind w:left="0" w:leftChars="0" w:firstLine="0" w:firstLineChars="0"/>
      </w:pPr>
      <w:r>
        <w:rPr>
          <w:rFonts w:ascii="Times New Roman" w:hAnsi="Times New Roman" w:eastAsia="方正小标宋简体" w:cs="Times New Roman"/>
          <w:color w:val="000000"/>
          <w:kern w:val="0"/>
          <w:sz w:val="44"/>
          <w:szCs w:val="44"/>
          <w:u w:val="none"/>
          <w:lang w:val="en-US" w:eastAsia="zh-CN" w:bidi="ar-SA"/>
        </w:rPr>
        <w:t>部门整体绩效目标完成情况自评表</w:t>
      </w:r>
    </w:p>
    <w:tbl>
      <w:tblPr>
        <w:tblStyle w:val="15"/>
        <w:tblW w:w="99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042"/>
        <w:gridCol w:w="1078"/>
        <w:gridCol w:w="1348"/>
        <w:gridCol w:w="1176"/>
        <w:gridCol w:w="1127"/>
        <w:gridCol w:w="1079"/>
        <w:gridCol w:w="1295"/>
        <w:gridCol w:w="886"/>
        <w:gridCol w:w="887"/>
      </w:tblGrid>
      <w:tr w14:paraId="4AB13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9918" w:type="dxa"/>
            <w:gridSpan w:val="9"/>
            <w:tcBorders>
              <w:top w:val="nil"/>
              <w:left w:val="nil"/>
              <w:bottom w:val="nil"/>
              <w:right w:val="nil"/>
            </w:tcBorders>
            <w:noWrap/>
            <w:vAlign w:val="center"/>
          </w:tcPr>
          <w:p w14:paraId="1842BA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 w:val="28"/>
                <w:szCs w:val="28"/>
                <w:u w:val="none"/>
                <w:lang w:val="en-US" w:eastAsia="zh-CN"/>
              </w:rPr>
              <w:t>（202</w:t>
            </w:r>
            <w:r>
              <w:rPr>
                <w:rFonts w:hint="eastAsia" w:ascii="Times New Roman" w:hAnsi="Times New Roman" w:eastAsia="方正仿宋_GBK"/>
                <w:color w:val="000000"/>
                <w:kern w:val="0"/>
                <w:sz w:val="28"/>
                <w:szCs w:val="28"/>
                <w:u w:val="none"/>
                <w:lang w:val="en-US" w:eastAsia="zh-CN"/>
              </w:rPr>
              <w:t>5</w:t>
            </w:r>
            <w:r>
              <w:rPr>
                <w:rFonts w:ascii="Times New Roman" w:hAnsi="Times New Roman" w:eastAsia="方正仿宋_GBK"/>
                <w:color w:val="000000"/>
                <w:kern w:val="0"/>
                <w:sz w:val="28"/>
                <w:szCs w:val="28"/>
                <w:u w:val="none"/>
                <w:lang w:val="en-US" w:eastAsia="zh-CN"/>
              </w:rPr>
              <w:t>年度）</w:t>
            </w:r>
          </w:p>
        </w:tc>
      </w:tr>
      <w:tr w14:paraId="390F0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9918" w:type="dxa"/>
            <w:gridSpan w:val="9"/>
            <w:tcBorders>
              <w:top w:val="nil"/>
              <w:left w:val="nil"/>
              <w:bottom w:val="single" w:color="000000" w:sz="4" w:space="0"/>
              <w:right w:val="nil"/>
            </w:tcBorders>
            <w:noWrap/>
            <w:vAlign w:val="center"/>
          </w:tcPr>
          <w:p w14:paraId="2E94C2EF">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单位：万元</w:t>
            </w:r>
          </w:p>
        </w:tc>
      </w:tr>
      <w:tr w14:paraId="77C72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3468" w:type="dxa"/>
            <w:gridSpan w:val="3"/>
            <w:tcBorders>
              <w:top w:val="single" w:color="000000" w:sz="4" w:space="0"/>
              <w:left w:val="single" w:color="000000" w:sz="4" w:space="0"/>
              <w:bottom w:val="single" w:color="000000" w:sz="4" w:space="0"/>
              <w:right w:val="single" w:color="000000" w:sz="4" w:space="0"/>
            </w:tcBorders>
            <w:noWrap/>
            <w:vAlign w:val="center"/>
          </w:tcPr>
          <w:p w14:paraId="2A7950A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部门名称</w:t>
            </w:r>
          </w:p>
        </w:tc>
        <w:tc>
          <w:tcPr>
            <w:tcW w:w="6451" w:type="dxa"/>
            <w:gridSpan w:val="6"/>
            <w:tcBorders>
              <w:top w:val="single" w:color="000000" w:sz="4" w:space="0"/>
              <w:left w:val="single" w:color="000000" w:sz="4" w:space="0"/>
              <w:bottom w:val="single" w:color="000000" w:sz="4" w:space="0"/>
              <w:right w:val="single" w:color="000000" w:sz="4" w:space="0"/>
            </w:tcBorders>
            <w:noWrap/>
            <w:vAlign w:val="center"/>
          </w:tcPr>
          <w:p w14:paraId="55D0B382">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ascii="Times New Roman" w:hAnsi="Times New Roman" w:eastAsia="方正仿宋_GBK"/>
                <w:color w:val="000000"/>
                <w:szCs w:val="21"/>
                <w:u w:val="none"/>
              </w:rPr>
            </w:pPr>
            <w:r>
              <w:rPr>
                <w:rFonts w:eastAsia="方正仿宋_GBK"/>
                <w:color w:val="000000"/>
                <w:kern w:val="0"/>
                <w:szCs w:val="21"/>
              </w:rPr>
              <w:t>民革四川省委直属巴中市支部委员会</w:t>
            </w:r>
          </w:p>
        </w:tc>
      </w:tr>
      <w:tr w14:paraId="5F2F3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42" w:type="dxa"/>
            <w:vMerge w:val="restart"/>
            <w:tcBorders>
              <w:top w:val="single" w:color="000000" w:sz="4" w:space="0"/>
              <w:left w:val="single" w:color="000000" w:sz="4" w:space="0"/>
              <w:bottom w:val="single" w:color="000000" w:sz="4" w:space="0"/>
              <w:right w:val="single" w:color="000000" w:sz="4" w:space="0"/>
            </w:tcBorders>
            <w:noWrap/>
            <w:vAlign w:val="center"/>
          </w:tcPr>
          <w:p w14:paraId="0C0D2EB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年度部门整体支出预算</w:t>
            </w:r>
          </w:p>
        </w:tc>
        <w:tc>
          <w:tcPr>
            <w:tcW w:w="2426" w:type="dxa"/>
            <w:gridSpan w:val="2"/>
            <w:tcBorders>
              <w:top w:val="single" w:color="000000" w:sz="4" w:space="0"/>
              <w:left w:val="single" w:color="000000" w:sz="4" w:space="0"/>
              <w:bottom w:val="single" w:color="000000" w:sz="4" w:space="0"/>
              <w:right w:val="single" w:color="000000" w:sz="4" w:space="0"/>
            </w:tcBorders>
            <w:noWrap/>
            <w:vAlign w:val="center"/>
          </w:tcPr>
          <w:p w14:paraId="71E4388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资金总额</w:t>
            </w:r>
          </w:p>
        </w:tc>
        <w:tc>
          <w:tcPr>
            <w:tcW w:w="2304" w:type="dxa"/>
            <w:gridSpan w:val="2"/>
            <w:tcBorders>
              <w:top w:val="single" w:color="000000" w:sz="4" w:space="0"/>
              <w:left w:val="single" w:color="000000" w:sz="4" w:space="0"/>
              <w:bottom w:val="single" w:color="000000" w:sz="4" w:space="0"/>
              <w:right w:val="single" w:color="000000" w:sz="4" w:space="0"/>
            </w:tcBorders>
            <w:noWrap/>
            <w:vAlign w:val="center"/>
          </w:tcPr>
          <w:p w14:paraId="5D39D4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财政拨款</w:t>
            </w:r>
          </w:p>
        </w:tc>
        <w:tc>
          <w:tcPr>
            <w:tcW w:w="4147" w:type="dxa"/>
            <w:gridSpan w:val="4"/>
            <w:tcBorders>
              <w:top w:val="single" w:color="000000" w:sz="4" w:space="0"/>
              <w:left w:val="single" w:color="000000" w:sz="4" w:space="0"/>
              <w:bottom w:val="single" w:color="000000" w:sz="4" w:space="0"/>
              <w:right w:val="single" w:color="000000" w:sz="4" w:space="0"/>
            </w:tcBorders>
            <w:noWrap/>
            <w:vAlign w:val="center"/>
          </w:tcPr>
          <w:p w14:paraId="0AEA6F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其他资金</w:t>
            </w:r>
          </w:p>
        </w:tc>
      </w:tr>
      <w:tr w14:paraId="44258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ign w:val="center"/>
          </w:tcPr>
          <w:p w14:paraId="3BA7F292"/>
        </w:tc>
        <w:tc>
          <w:tcPr>
            <w:tcW w:w="2426" w:type="dxa"/>
            <w:gridSpan w:val="2"/>
            <w:tcBorders>
              <w:top w:val="single" w:color="000000" w:sz="4" w:space="0"/>
              <w:left w:val="single" w:color="000000" w:sz="4" w:space="0"/>
              <w:bottom w:val="single" w:color="000000" w:sz="4" w:space="0"/>
              <w:right w:val="single" w:color="000000" w:sz="4" w:space="0"/>
            </w:tcBorders>
            <w:noWrap/>
            <w:vAlign w:val="center"/>
          </w:tcPr>
          <w:p w14:paraId="6F5D697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lang w:val="en-US"/>
              </w:rPr>
            </w:pPr>
            <w:r>
              <w:rPr>
                <w:rFonts w:hint="eastAsia" w:ascii="Times New Roman" w:hAnsi="Times New Roman" w:eastAsia="方正仿宋_GBK"/>
                <w:color w:val="000000"/>
                <w:kern w:val="0"/>
                <w:szCs w:val="21"/>
                <w:u w:val="none"/>
                <w:lang w:val="en-US" w:eastAsia="zh-CN"/>
              </w:rPr>
              <w:t>30</w:t>
            </w:r>
          </w:p>
        </w:tc>
        <w:tc>
          <w:tcPr>
            <w:tcW w:w="2304" w:type="dxa"/>
            <w:gridSpan w:val="2"/>
            <w:tcBorders>
              <w:top w:val="single" w:color="000000" w:sz="4" w:space="0"/>
              <w:left w:val="single" w:color="000000" w:sz="4" w:space="0"/>
              <w:bottom w:val="single" w:color="000000" w:sz="4" w:space="0"/>
              <w:right w:val="single" w:color="000000" w:sz="4" w:space="0"/>
            </w:tcBorders>
            <w:noWrap/>
            <w:vAlign w:val="center"/>
          </w:tcPr>
          <w:p w14:paraId="601C76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lang w:val="en-US"/>
              </w:rPr>
            </w:pPr>
            <w:r>
              <w:rPr>
                <w:rFonts w:hint="eastAsia" w:ascii="Times New Roman" w:hAnsi="Times New Roman" w:eastAsia="方正仿宋_GBK"/>
                <w:color w:val="000000"/>
                <w:kern w:val="0"/>
                <w:szCs w:val="21"/>
                <w:u w:val="none"/>
                <w:lang w:val="en-US" w:eastAsia="zh-CN"/>
              </w:rPr>
              <w:t>30</w:t>
            </w:r>
          </w:p>
        </w:tc>
        <w:tc>
          <w:tcPr>
            <w:tcW w:w="4147" w:type="dxa"/>
            <w:gridSpan w:val="4"/>
            <w:tcBorders>
              <w:top w:val="single" w:color="000000" w:sz="4" w:space="0"/>
              <w:left w:val="single" w:color="000000" w:sz="4" w:space="0"/>
              <w:bottom w:val="single" w:color="000000" w:sz="4" w:space="0"/>
              <w:right w:val="single" w:color="000000" w:sz="4" w:space="0"/>
            </w:tcBorders>
            <w:noWrap/>
            <w:vAlign w:val="center"/>
          </w:tcPr>
          <w:p w14:paraId="6548EFE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hint="eastAsia" w:ascii="Times New Roman" w:hAnsi="Times New Roman" w:eastAsia="方正仿宋_GBK"/>
                <w:color w:val="000000"/>
                <w:kern w:val="0"/>
                <w:szCs w:val="21"/>
                <w:u w:val="none"/>
                <w:lang w:val="en-US" w:eastAsia="zh-CN"/>
              </w:rPr>
              <w:t>0</w:t>
            </w:r>
          </w:p>
        </w:tc>
      </w:tr>
      <w:tr w14:paraId="4A9DD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42" w:type="dxa"/>
            <w:tcBorders>
              <w:top w:val="single" w:color="000000" w:sz="4" w:space="0"/>
              <w:left w:val="single" w:color="000000" w:sz="4" w:space="0"/>
              <w:bottom w:val="single" w:color="000000" w:sz="4" w:space="0"/>
              <w:right w:val="single" w:color="000000" w:sz="4" w:space="0"/>
            </w:tcBorders>
            <w:noWrap/>
            <w:vAlign w:val="center"/>
          </w:tcPr>
          <w:p w14:paraId="45352B4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kern w:val="0"/>
                <w:szCs w:val="21"/>
                <w:u w:val="none"/>
                <w:lang w:val="en-US" w:eastAsia="zh-CN"/>
              </w:rPr>
            </w:pPr>
            <w:r>
              <w:rPr>
                <w:rFonts w:ascii="Times New Roman" w:hAnsi="Times New Roman" w:eastAsia="方正仿宋_GBK"/>
                <w:color w:val="000000"/>
                <w:kern w:val="0"/>
                <w:szCs w:val="21"/>
                <w:u w:val="none"/>
                <w:lang w:val="en-US" w:eastAsia="zh-CN"/>
              </w:rPr>
              <w:t>年度总体</w:t>
            </w:r>
          </w:p>
          <w:p w14:paraId="36DE42D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目标</w:t>
            </w:r>
          </w:p>
        </w:tc>
        <w:tc>
          <w:tcPr>
            <w:tcW w:w="8877" w:type="dxa"/>
            <w:gridSpan w:val="8"/>
            <w:tcBorders>
              <w:top w:val="single" w:color="000000" w:sz="4" w:space="0"/>
              <w:left w:val="single" w:color="000000" w:sz="4" w:space="0"/>
              <w:bottom w:val="single" w:color="000000" w:sz="4" w:space="0"/>
              <w:right w:val="single" w:color="000000" w:sz="4" w:space="0"/>
            </w:tcBorders>
            <w:noWrap/>
            <w:vAlign w:val="center"/>
          </w:tcPr>
          <w:p w14:paraId="6A2F959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eastAsia="方正仿宋_GBK"/>
                <w:color w:val="000000"/>
                <w:szCs w:val="21"/>
                <w:lang w:val="en-US" w:eastAsia="zh-CN"/>
              </w:rPr>
            </w:pPr>
            <w:r>
              <w:rPr>
                <w:rFonts w:eastAsia="方正仿宋_GBK"/>
                <w:color w:val="000000"/>
                <w:szCs w:val="21"/>
                <w:lang w:val="en-US" w:eastAsia="zh-CN"/>
              </w:rPr>
              <w:t>目标1：开展思想政治教育，加强党员教育培训，努力吸纳新党员。</w:t>
            </w:r>
          </w:p>
          <w:p w14:paraId="10A81C81">
            <w:pPr>
              <w:pStyle w:val="2"/>
              <w:keepNext w:val="0"/>
              <w:keepLines w:val="0"/>
              <w:pageBreakBefore w:val="0"/>
              <w:widowControl w:val="0"/>
              <w:suppressLineNumbers w:val="0"/>
              <w:bidi w:val="0"/>
              <w:adjustRightInd/>
              <w:snapToGrid w:val="0"/>
              <w:contextualSpacing w:val="0"/>
              <w:jc w:val="left"/>
              <w:rPr>
                <w:rFonts w:eastAsia="方正仿宋_GBK"/>
                <w:color w:val="000000"/>
                <w:sz w:val="21"/>
                <w:szCs w:val="21"/>
              </w:rPr>
            </w:pPr>
            <w:r>
              <w:rPr>
                <w:rFonts w:eastAsia="方正仿宋_GBK"/>
                <w:color w:val="000000"/>
                <w:sz w:val="21"/>
                <w:szCs w:val="21"/>
              </w:rPr>
              <w:t>目标2：开展高质量专题调研，主动参与重大时政问题研讨，积极报送提案和社情民意。</w:t>
            </w:r>
          </w:p>
          <w:p w14:paraId="0942C52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ascii="Times New Roman" w:hAnsi="Times New Roman" w:eastAsia="方正仿宋_GBK"/>
                <w:color w:val="000000"/>
                <w:szCs w:val="21"/>
                <w:u w:val="none"/>
              </w:rPr>
            </w:pPr>
            <w:r>
              <w:rPr>
                <w:rFonts w:eastAsia="方正仿宋_GBK"/>
                <w:color w:val="000000"/>
                <w:szCs w:val="21"/>
              </w:rPr>
              <w:t>目标3：提供法律服务，加强农民技术培训，助力乡村振兴。</w:t>
            </w:r>
          </w:p>
        </w:tc>
      </w:tr>
      <w:tr w14:paraId="199EF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42" w:type="dxa"/>
            <w:vMerge w:val="restart"/>
            <w:tcBorders>
              <w:top w:val="single" w:color="000000" w:sz="4" w:space="0"/>
              <w:left w:val="single" w:color="000000" w:sz="4" w:space="0"/>
              <w:bottom w:val="single" w:color="000000" w:sz="4" w:space="0"/>
              <w:right w:val="single" w:color="000000" w:sz="4" w:space="0"/>
            </w:tcBorders>
            <w:noWrap/>
            <w:vAlign w:val="center"/>
          </w:tcPr>
          <w:p w14:paraId="4BB4C0E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kern w:val="0"/>
                <w:szCs w:val="21"/>
                <w:u w:val="none"/>
                <w:lang w:val="en-US" w:eastAsia="zh-CN"/>
              </w:rPr>
            </w:pPr>
            <w:r>
              <w:rPr>
                <w:rFonts w:ascii="Times New Roman" w:hAnsi="Times New Roman" w:eastAsia="方正仿宋_GBK"/>
                <w:color w:val="000000"/>
                <w:kern w:val="0"/>
                <w:szCs w:val="21"/>
                <w:u w:val="none"/>
                <w:lang w:val="en-US" w:eastAsia="zh-CN"/>
              </w:rPr>
              <w:t>年度主要</w:t>
            </w:r>
          </w:p>
          <w:p w14:paraId="2AE58CB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任务</w:t>
            </w:r>
          </w:p>
        </w:tc>
        <w:tc>
          <w:tcPr>
            <w:tcW w:w="2426" w:type="dxa"/>
            <w:gridSpan w:val="2"/>
            <w:tcBorders>
              <w:top w:val="single" w:color="000000" w:sz="4" w:space="0"/>
              <w:left w:val="single" w:color="000000" w:sz="4" w:space="0"/>
              <w:bottom w:val="single" w:color="000000" w:sz="4" w:space="0"/>
              <w:right w:val="single" w:color="000000" w:sz="4" w:space="0"/>
            </w:tcBorders>
            <w:noWrap/>
            <w:vAlign w:val="center"/>
          </w:tcPr>
          <w:p w14:paraId="4B112C1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任务名称</w:t>
            </w:r>
          </w:p>
        </w:tc>
        <w:tc>
          <w:tcPr>
            <w:tcW w:w="6451" w:type="dxa"/>
            <w:gridSpan w:val="6"/>
            <w:tcBorders>
              <w:top w:val="single" w:color="000000" w:sz="4" w:space="0"/>
              <w:left w:val="single" w:color="000000" w:sz="4" w:space="0"/>
              <w:bottom w:val="single" w:color="000000" w:sz="4" w:space="0"/>
              <w:right w:val="single" w:color="000000" w:sz="4" w:space="0"/>
            </w:tcBorders>
            <w:noWrap/>
            <w:vAlign w:val="center"/>
          </w:tcPr>
          <w:p w14:paraId="698148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主要内容</w:t>
            </w:r>
          </w:p>
        </w:tc>
      </w:tr>
      <w:tr w14:paraId="2B43F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14:paraId="2B9AB7F1"/>
        </w:tc>
        <w:tc>
          <w:tcPr>
            <w:tcW w:w="2426" w:type="dxa"/>
            <w:gridSpan w:val="2"/>
            <w:tcBorders>
              <w:top w:val="single" w:color="000000" w:sz="4" w:space="0"/>
              <w:left w:val="single" w:color="000000" w:sz="4" w:space="0"/>
              <w:bottom w:val="single" w:color="000000" w:sz="4" w:space="0"/>
              <w:right w:val="single" w:color="000000" w:sz="4" w:space="0"/>
            </w:tcBorders>
            <w:noWrap/>
            <w:vAlign w:val="center"/>
          </w:tcPr>
          <w:p w14:paraId="1F57D4FA">
            <w:pPr>
              <w:rPr>
                <w:rFonts w:eastAsia="方正仿宋_GBK"/>
                <w:color w:val="000000"/>
                <w:szCs w:val="21"/>
              </w:rPr>
            </w:pPr>
            <w:r>
              <w:rPr>
                <w:rFonts w:eastAsia="方正仿宋_GBK"/>
                <w:color w:val="000000"/>
                <w:szCs w:val="21"/>
              </w:rPr>
              <w:t>1支部日常工作</w:t>
            </w:r>
          </w:p>
        </w:tc>
        <w:tc>
          <w:tcPr>
            <w:tcW w:w="6451" w:type="dxa"/>
            <w:gridSpan w:val="6"/>
            <w:tcBorders>
              <w:top w:val="single" w:color="000000" w:sz="4" w:space="0"/>
              <w:left w:val="single" w:color="000000" w:sz="4" w:space="0"/>
              <w:bottom w:val="single" w:color="000000" w:sz="4" w:space="0"/>
              <w:right w:val="single" w:color="000000" w:sz="4" w:space="0"/>
            </w:tcBorders>
            <w:noWrap/>
            <w:vAlign w:val="center"/>
          </w:tcPr>
          <w:p w14:paraId="47DAA220">
            <w:pPr>
              <w:jc w:val="center"/>
              <w:rPr>
                <w:rFonts w:eastAsia="方正仿宋_GBK"/>
                <w:color w:val="000000"/>
                <w:szCs w:val="21"/>
              </w:rPr>
            </w:pPr>
            <w:r>
              <w:rPr>
                <w:rFonts w:eastAsia="方正仿宋_GBK"/>
                <w:color w:val="000000"/>
                <w:szCs w:val="21"/>
              </w:rPr>
              <w:t>支部党建活动、会议、日常办公等</w:t>
            </w:r>
          </w:p>
        </w:tc>
      </w:tr>
      <w:tr w14:paraId="0C163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14:paraId="716CF1E2"/>
        </w:tc>
        <w:tc>
          <w:tcPr>
            <w:tcW w:w="2426" w:type="dxa"/>
            <w:gridSpan w:val="2"/>
            <w:tcBorders>
              <w:top w:val="single" w:color="000000" w:sz="4" w:space="0"/>
              <w:left w:val="single" w:color="000000" w:sz="4" w:space="0"/>
              <w:bottom w:val="single" w:color="000000" w:sz="4" w:space="0"/>
              <w:right w:val="single" w:color="000000" w:sz="4" w:space="0"/>
            </w:tcBorders>
            <w:noWrap/>
            <w:vAlign w:val="center"/>
          </w:tcPr>
          <w:p w14:paraId="5B06D520">
            <w:pPr>
              <w:rPr>
                <w:rFonts w:eastAsia="方正仿宋_GBK"/>
                <w:color w:val="000000"/>
                <w:szCs w:val="21"/>
              </w:rPr>
            </w:pPr>
            <w:r>
              <w:rPr>
                <w:rFonts w:eastAsia="方正仿宋_GBK"/>
                <w:color w:val="000000"/>
                <w:szCs w:val="21"/>
              </w:rPr>
              <w:t>2聘用人员开支</w:t>
            </w:r>
          </w:p>
        </w:tc>
        <w:tc>
          <w:tcPr>
            <w:tcW w:w="6451" w:type="dxa"/>
            <w:gridSpan w:val="6"/>
            <w:tcBorders>
              <w:top w:val="single" w:color="000000" w:sz="4" w:space="0"/>
              <w:left w:val="single" w:color="000000" w:sz="4" w:space="0"/>
              <w:bottom w:val="single" w:color="000000" w:sz="4" w:space="0"/>
              <w:right w:val="single" w:color="000000" w:sz="4" w:space="0"/>
            </w:tcBorders>
            <w:noWrap/>
            <w:vAlign w:val="center"/>
          </w:tcPr>
          <w:p w14:paraId="7F42FCDE">
            <w:pPr>
              <w:jc w:val="center"/>
              <w:rPr>
                <w:rFonts w:eastAsia="方正仿宋_GBK"/>
                <w:color w:val="000000"/>
                <w:szCs w:val="21"/>
              </w:rPr>
            </w:pPr>
            <w:r>
              <w:rPr>
                <w:rFonts w:eastAsia="方正仿宋_GBK"/>
                <w:color w:val="000000"/>
                <w:szCs w:val="21"/>
              </w:rPr>
              <w:t>聘用人员工资福利报酬</w:t>
            </w:r>
          </w:p>
        </w:tc>
      </w:tr>
      <w:tr w14:paraId="7ED1D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ign w:val="center"/>
          </w:tcPr>
          <w:p w14:paraId="12DE3784"/>
        </w:tc>
        <w:tc>
          <w:tcPr>
            <w:tcW w:w="2426" w:type="dxa"/>
            <w:gridSpan w:val="2"/>
            <w:tcBorders>
              <w:top w:val="single" w:color="000000" w:sz="4" w:space="0"/>
              <w:left w:val="single" w:color="000000" w:sz="4" w:space="0"/>
              <w:bottom w:val="single" w:color="000000" w:sz="4" w:space="0"/>
              <w:right w:val="single" w:color="000000" w:sz="4" w:space="0"/>
            </w:tcBorders>
            <w:noWrap/>
            <w:vAlign w:val="center"/>
          </w:tcPr>
          <w:p w14:paraId="642686E9">
            <w:pPr>
              <w:rPr>
                <w:rFonts w:eastAsia="方正仿宋_GBK"/>
                <w:color w:val="000000"/>
                <w:szCs w:val="21"/>
              </w:rPr>
            </w:pPr>
            <w:r>
              <w:rPr>
                <w:rFonts w:eastAsia="方正仿宋_GBK"/>
                <w:color w:val="000000"/>
                <w:szCs w:val="21"/>
              </w:rPr>
              <w:t>3调研考察活动</w:t>
            </w:r>
          </w:p>
        </w:tc>
        <w:tc>
          <w:tcPr>
            <w:tcW w:w="6451" w:type="dxa"/>
            <w:gridSpan w:val="6"/>
            <w:tcBorders>
              <w:top w:val="single" w:color="000000" w:sz="4" w:space="0"/>
              <w:left w:val="single" w:color="000000" w:sz="4" w:space="0"/>
              <w:bottom w:val="single" w:color="000000" w:sz="4" w:space="0"/>
              <w:right w:val="single" w:color="000000" w:sz="4" w:space="0"/>
            </w:tcBorders>
            <w:noWrap/>
            <w:vAlign w:val="center"/>
          </w:tcPr>
          <w:p w14:paraId="637BB948">
            <w:pPr>
              <w:jc w:val="center"/>
              <w:rPr>
                <w:rFonts w:eastAsia="方正仿宋_GBK"/>
                <w:color w:val="000000"/>
                <w:szCs w:val="21"/>
              </w:rPr>
            </w:pPr>
            <w:r>
              <w:rPr>
                <w:rFonts w:eastAsia="方正仿宋_GBK"/>
                <w:color w:val="000000"/>
                <w:szCs w:val="21"/>
              </w:rPr>
              <w:t>参政议政调研考察活动等</w:t>
            </w:r>
          </w:p>
        </w:tc>
      </w:tr>
      <w:tr w14:paraId="62CCA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42" w:type="dxa"/>
            <w:vMerge w:val="restart"/>
            <w:tcBorders>
              <w:top w:val="single" w:color="000000" w:sz="4" w:space="0"/>
              <w:left w:val="single" w:color="000000" w:sz="4" w:space="0"/>
              <w:bottom w:val="single" w:color="000000" w:sz="4" w:space="0"/>
              <w:right w:val="single" w:color="000000" w:sz="4" w:space="0"/>
            </w:tcBorders>
            <w:noWrap/>
            <w:vAlign w:val="center"/>
          </w:tcPr>
          <w:p w14:paraId="478C1D1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kern w:val="0"/>
                <w:szCs w:val="21"/>
                <w:u w:val="none"/>
                <w:lang w:val="en-US" w:eastAsia="zh-CN"/>
              </w:rPr>
            </w:pPr>
            <w:r>
              <w:rPr>
                <w:rFonts w:ascii="Times New Roman" w:hAnsi="Times New Roman" w:eastAsia="方正仿宋_GBK"/>
                <w:color w:val="000000"/>
                <w:kern w:val="0"/>
                <w:szCs w:val="21"/>
                <w:u w:val="none"/>
                <w:lang w:val="en-US" w:eastAsia="zh-CN"/>
              </w:rPr>
              <w:t>年度绩效</w:t>
            </w:r>
          </w:p>
          <w:p w14:paraId="3197958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指标</w:t>
            </w:r>
          </w:p>
        </w:tc>
        <w:tc>
          <w:tcPr>
            <w:tcW w:w="1078" w:type="dxa"/>
            <w:tcBorders>
              <w:top w:val="single" w:color="000000" w:sz="4" w:space="0"/>
              <w:left w:val="single" w:color="000000" w:sz="4" w:space="0"/>
              <w:bottom w:val="single" w:color="000000" w:sz="4" w:space="0"/>
              <w:right w:val="single" w:color="000000" w:sz="4" w:space="0"/>
            </w:tcBorders>
            <w:noWrap/>
            <w:vAlign w:val="center"/>
          </w:tcPr>
          <w:p w14:paraId="3F995F0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一级指标</w:t>
            </w: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310E2B8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二级指标</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206A8C3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553D7C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kern w:val="0"/>
                <w:szCs w:val="21"/>
                <w:u w:val="none"/>
                <w:lang w:val="en-US" w:eastAsia="zh-CN"/>
              </w:rPr>
            </w:pPr>
            <w:r>
              <w:rPr>
                <w:rFonts w:ascii="Times New Roman" w:hAnsi="Times New Roman" w:eastAsia="方正仿宋_GBK"/>
                <w:color w:val="000000"/>
                <w:kern w:val="0"/>
                <w:szCs w:val="21"/>
                <w:u w:val="none"/>
                <w:lang w:val="en-US" w:eastAsia="zh-CN"/>
              </w:rPr>
              <w:t>绩效指标</w:t>
            </w:r>
          </w:p>
          <w:p w14:paraId="3EA494E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性质</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6B4EB6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绩效指标值</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6A51E2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绩效度量单位</w:t>
            </w:r>
          </w:p>
        </w:tc>
        <w:tc>
          <w:tcPr>
            <w:tcW w:w="886" w:type="dxa"/>
            <w:tcBorders>
              <w:top w:val="single" w:color="000000" w:sz="4" w:space="0"/>
              <w:left w:val="single" w:color="000000" w:sz="4" w:space="0"/>
              <w:bottom w:val="single" w:color="000000" w:sz="4" w:space="0"/>
              <w:right w:val="nil"/>
            </w:tcBorders>
            <w:noWrap/>
            <w:vAlign w:val="center"/>
          </w:tcPr>
          <w:p w14:paraId="3D00A2D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权重</w:t>
            </w: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45EA70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auto"/>
                <w:kern w:val="0"/>
                <w:szCs w:val="21"/>
                <w:u w:val="none"/>
                <w:lang w:val="en-US" w:eastAsia="zh-CN"/>
              </w:rPr>
            </w:pPr>
            <w:r>
              <w:rPr>
                <w:rFonts w:ascii="Times New Roman" w:hAnsi="Times New Roman" w:eastAsia="方正仿宋_GBK"/>
                <w:color w:val="auto"/>
                <w:kern w:val="0"/>
                <w:szCs w:val="21"/>
                <w:u w:val="none"/>
                <w:lang w:val="en-US" w:eastAsia="zh-CN"/>
              </w:rPr>
              <w:t>实际完成</w:t>
            </w:r>
          </w:p>
          <w:p w14:paraId="4914973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FF0000"/>
                <w:szCs w:val="21"/>
                <w:u w:val="none"/>
              </w:rPr>
            </w:pPr>
            <w:r>
              <w:rPr>
                <w:rFonts w:ascii="Times New Roman" w:hAnsi="Times New Roman" w:eastAsia="方正仿宋_GBK"/>
                <w:color w:val="auto"/>
                <w:kern w:val="0"/>
                <w:szCs w:val="21"/>
                <w:u w:val="none"/>
                <w:lang w:val="en-US" w:eastAsia="zh-CN"/>
              </w:rPr>
              <w:t>指标值</w:t>
            </w:r>
          </w:p>
        </w:tc>
      </w:tr>
      <w:tr w14:paraId="11C2A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44"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ign w:val="center"/>
          </w:tcPr>
          <w:p w14:paraId="6FFC4A7B"/>
        </w:tc>
        <w:tc>
          <w:tcPr>
            <w:tcW w:w="1078" w:type="dxa"/>
            <w:vMerge w:val="restart"/>
            <w:tcBorders>
              <w:top w:val="single" w:color="000000" w:sz="4" w:space="0"/>
              <w:left w:val="single" w:color="000000" w:sz="4" w:space="0"/>
              <w:bottom w:val="single" w:color="000000" w:sz="4" w:space="0"/>
              <w:right w:val="single" w:color="000000" w:sz="4" w:space="0"/>
            </w:tcBorders>
            <w:noWrap/>
            <w:vAlign w:val="center"/>
          </w:tcPr>
          <w:p w14:paraId="01EA19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产出指标</w:t>
            </w: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15160F21">
            <w:pPr>
              <w:jc w:val="center"/>
              <w:rPr>
                <w:rFonts w:eastAsia="方正仿宋_GBK"/>
                <w:color w:val="000000"/>
                <w:kern w:val="0"/>
                <w:szCs w:val="21"/>
              </w:rPr>
            </w:pPr>
            <w:r>
              <w:rPr>
                <w:rFonts w:eastAsia="方正仿宋_GBK"/>
                <w:color w:val="000000"/>
                <w:kern w:val="0"/>
                <w:szCs w:val="21"/>
              </w:rPr>
              <w:t>数量指标</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344CCEE7">
            <w:pPr>
              <w:rPr>
                <w:rFonts w:eastAsia="方正仿宋_GBK"/>
                <w:color w:val="000000"/>
                <w:kern w:val="0"/>
                <w:szCs w:val="21"/>
              </w:rPr>
            </w:pPr>
            <w:r>
              <w:rPr>
                <w:rFonts w:eastAsia="方正仿宋_GBK"/>
                <w:color w:val="000000"/>
                <w:kern w:val="0"/>
                <w:szCs w:val="21"/>
              </w:rPr>
              <w:t>考察调研次数</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BB636B3">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61E7DECB">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eastAsia" w:eastAsia="方正仿宋_GBK"/>
                <w:color w:val="000000"/>
                <w:szCs w:val="21"/>
              </w:rPr>
            </w:pPr>
            <w:r>
              <w:rPr>
                <w:rFonts w:eastAsia="方正仿宋_GBK"/>
                <w:color w:val="000000"/>
                <w:szCs w:val="21"/>
              </w:rPr>
              <w:t>4</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6112AA6E">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s="方正仿宋_GBK"/>
                <w:color w:val="000000"/>
                <w:szCs w:val="21"/>
              </w:rPr>
              <w:t>次</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6DE52ADA">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5</w:t>
            </w:r>
          </w:p>
        </w:tc>
        <w:tc>
          <w:tcPr>
            <w:tcW w:w="887" w:type="dxa"/>
            <w:tcBorders>
              <w:top w:val="nil"/>
              <w:left w:val="single" w:color="000000" w:sz="4" w:space="0"/>
              <w:bottom w:val="single" w:color="000000" w:sz="4" w:space="0"/>
              <w:right w:val="single" w:color="000000" w:sz="4" w:space="0"/>
            </w:tcBorders>
            <w:noWrap/>
            <w:vAlign w:val="center"/>
          </w:tcPr>
          <w:p w14:paraId="176499D6">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eastAsia" w:eastAsia="方正仿宋_GBK"/>
                <w:color w:val="000000" w:themeColor="text1"/>
                <w:szCs w:val="21"/>
                <w:lang w:val="en-US" w:eastAsia="zh-CN"/>
                <w14:textFill>
                  <w14:solidFill>
                    <w14:schemeClr w14:val="tx1"/>
                  </w14:solidFill>
                </w14:textFill>
              </w:rPr>
            </w:pPr>
            <w:r>
              <w:rPr>
                <w:rFonts w:hint="eastAsia" w:eastAsia="方正仿宋_GBK"/>
                <w:color w:val="000000" w:themeColor="text1"/>
                <w:szCs w:val="21"/>
                <w:lang w:val="en-US" w:eastAsia="zh-CN"/>
                <w14:textFill>
                  <w14:solidFill>
                    <w14:schemeClr w14:val="tx1"/>
                  </w14:solidFill>
                </w14:textFill>
              </w:rPr>
              <w:t>4</w:t>
            </w:r>
          </w:p>
        </w:tc>
      </w:tr>
      <w:tr w14:paraId="718C3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14:paraId="47D9CEC9"/>
        </w:tc>
        <w:tc>
          <w:tcPr>
            <w:vMerge w:val="continue"/>
            <w:tcBorders>
              <w:top w:val="single" w:color="000000" w:sz="4" w:space="0"/>
              <w:left w:val="single" w:color="000000" w:sz="4" w:space="0"/>
              <w:bottom w:val="single" w:color="000000" w:sz="4" w:space="0"/>
              <w:right w:val="single" w:color="000000" w:sz="4" w:space="0"/>
            </w:tcBorders>
            <w:noWrap/>
            <w:vAlign w:val="center"/>
          </w:tcPr>
          <w:p w14:paraId="41A9CBB9"/>
        </w:tc>
        <w:tc>
          <w:tcPr>
            <w:tcBorders>
              <w:top w:val="single" w:color="000000" w:sz="4" w:space="0"/>
              <w:left w:val="single" w:color="000000" w:sz="4" w:space="0"/>
              <w:bottom w:val="single" w:color="000000" w:sz="4" w:space="0"/>
              <w:right w:val="single" w:color="000000" w:sz="4" w:space="0"/>
            </w:tcBorders>
            <w:noWrap/>
            <w:vAlign w:val="center"/>
          </w:tcPr>
          <w:p w14:paraId="22BAD5E7">
            <w:pPr>
              <w:jc w:val="center"/>
              <w:rPr>
                <w:rFonts w:eastAsia="方正仿宋_GBK"/>
                <w:color w:val="000000"/>
                <w:kern w:val="0"/>
                <w:szCs w:val="21"/>
              </w:rPr>
            </w:pPr>
            <w:r>
              <w:rPr>
                <w:rFonts w:eastAsia="方正仿宋_GBK"/>
                <w:color w:val="000000"/>
                <w:kern w:val="0"/>
                <w:szCs w:val="21"/>
              </w:rPr>
              <w:t>数量指标</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1C75E5BA">
            <w:pPr>
              <w:rPr>
                <w:rFonts w:eastAsia="方正仿宋_GBK"/>
                <w:color w:val="000000"/>
                <w:kern w:val="0"/>
                <w:szCs w:val="21"/>
              </w:rPr>
            </w:pPr>
            <w:r>
              <w:rPr>
                <w:rFonts w:eastAsia="方正仿宋_GBK"/>
                <w:color w:val="000000"/>
                <w:kern w:val="0"/>
                <w:szCs w:val="21"/>
              </w:rPr>
              <w:t>建言献策个数</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98B8416">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7A2320FC">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2</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274EEAB6">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s="方正仿宋_GBK"/>
                <w:color w:val="000000"/>
                <w:szCs w:val="21"/>
              </w:rPr>
            </w:pPr>
            <w:r>
              <w:rPr>
                <w:rFonts w:eastAsia="方正仿宋_GBK" w:cs="方正仿宋_GBK"/>
                <w:color w:val="000000"/>
                <w:szCs w:val="21"/>
              </w:rPr>
              <w:t>个</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06846A35">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5</w:t>
            </w:r>
          </w:p>
        </w:tc>
        <w:tc>
          <w:tcPr>
            <w:tcW w:w="887" w:type="dxa"/>
            <w:tcBorders>
              <w:top w:val="nil"/>
              <w:left w:val="single" w:color="000000" w:sz="4" w:space="0"/>
              <w:bottom w:val="single" w:color="000000" w:sz="4" w:space="0"/>
              <w:right w:val="single" w:color="000000" w:sz="4" w:space="0"/>
            </w:tcBorders>
            <w:noWrap/>
            <w:vAlign w:val="center"/>
          </w:tcPr>
          <w:p w14:paraId="566A1F07">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eastAsia" w:eastAsia="方正仿宋_GBK"/>
                <w:color w:val="000000" w:themeColor="text1"/>
                <w:szCs w:val="21"/>
                <w:lang w:val="en-US" w:eastAsia="zh-CN"/>
                <w14:textFill>
                  <w14:solidFill>
                    <w14:schemeClr w14:val="tx1"/>
                  </w14:solidFill>
                </w14:textFill>
              </w:rPr>
            </w:pPr>
            <w:r>
              <w:rPr>
                <w:rFonts w:hint="eastAsia" w:eastAsia="方正仿宋_GBK"/>
                <w:color w:val="000000" w:themeColor="text1"/>
                <w:szCs w:val="21"/>
                <w:lang w:val="en-US" w:eastAsia="zh-CN"/>
                <w14:textFill>
                  <w14:solidFill>
                    <w14:schemeClr w14:val="tx1"/>
                  </w14:solidFill>
                </w14:textFill>
              </w:rPr>
              <w:t>4</w:t>
            </w:r>
          </w:p>
        </w:tc>
      </w:tr>
      <w:tr w14:paraId="1449C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14:paraId="0E96A093"/>
        </w:tc>
        <w:tc>
          <w:tcPr>
            <w:vMerge w:val="continue"/>
            <w:tcBorders>
              <w:top w:val="single" w:color="000000" w:sz="4" w:space="0"/>
              <w:left w:val="single" w:color="000000" w:sz="4" w:space="0"/>
              <w:bottom w:val="single" w:color="000000" w:sz="4" w:space="0"/>
              <w:right w:val="single" w:color="000000" w:sz="4" w:space="0"/>
            </w:tcBorders>
            <w:noWrap/>
            <w:vAlign w:val="center"/>
          </w:tcPr>
          <w:p w14:paraId="329974F6"/>
        </w:tc>
        <w:tc>
          <w:tcPr>
            <w:tcBorders>
              <w:top w:val="single" w:color="000000" w:sz="4" w:space="0"/>
              <w:left w:val="single" w:color="000000" w:sz="4" w:space="0"/>
              <w:bottom w:val="single" w:color="000000" w:sz="4" w:space="0"/>
              <w:right w:val="single" w:color="000000" w:sz="4" w:space="0"/>
            </w:tcBorders>
            <w:noWrap/>
            <w:vAlign w:val="center"/>
          </w:tcPr>
          <w:p w14:paraId="70B9DF28">
            <w:pPr>
              <w:jc w:val="center"/>
              <w:rPr>
                <w:rFonts w:eastAsia="方正仿宋_GBK"/>
                <w:color w:val="000000"/>
                <w:kern w:val="0"/>
                <w:szCs w:val="21"/>
              </w:rPr>
            </w:pPr>
            <w:r>
              <w:rPr>
                <w:rFonts w:eastAsia="方正仿宋_GBK"/>
                <w:color w:val="000000"/>
                <w:kern w:val="0"/>
                <w:szCs w:val="21"/>
              </w:rPr>
              <w:t>数量指标</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08AF2547">
            <w:pPr>
              <w:rPr>
                <w:rFonts w:eastAsia="方正仿宋_GBK"/>
                <w:color w:val="000000"/>
                <w:kern w:val="0"/>
                <w:szCs w:val="21"/>
              </w:rPr>
            </w:pPr>
            <w:r>
              <w:rPr>
                <w:rFonts w:eastAsia="方正仿宋_GBK"/>
                <w:color w:val="000000"/>
                <w:kern w:val="0"/>
                <w:szCs w:val="21"/>
              </w:rPr>
              <w:t>提案报送件数</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C8437A0">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1D7520E2">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2</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524F7818">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s="方正仿宋_GBK"/>
                <w:color w:val="000000"/>
                <w:szCs w:val="21"/>
              </w:rPr>
            </w:pPr>
            <w:r>
              <w:rPr>
                <w:rFonts w:eastAsia="方正仿宋_GBK" w:cs="方正仿宋_GBK"/>
                <w:color w:val="000000"/>
                <w:szCs w:val="21"/>
              </w:rPr>
              <w:t>个</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2418E744">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5</w:t>
            </w:r>
          </w:p>
        </w:tc>
        <w:tc>
          <w:tcPr>
            <w:tcW w:w="887" w:type="dxa"/>
            <w:tcBorders>
              <w:top w:val="nil"/>
              <w:left w:val="single" w:color="000000" w:sz="4" w:space="0"/>
              <w:bottom w:val="single" w:color="000000" w:sz="4" w:space="0"/>
              <w:right w:val="single" w:color="000000" w:sz="4" w:space="0"/>
            </w:tcBorders>
            <w:noWrap/>
            <w:vAlign w:val="center"/>
          </w:tcPr>
          <w:p w14:paraId="727C5D99">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default" w:eastAsia="方正仿宋_GBK"/>
                <w:color w:val="000000" w:themeColor="text1"/>
                <w:szCs w:val="21"/>
                <w:lang w:val="en-US" w:eastAsia="zh-CN"/>
                <w14:textFill>
                  <w14:solidFill>
                    <w14:schemeClr w14:val="tx1"/>
                  </w14:solidFill>
                </w14:textFill>
              </w:rPr>
            </w:pPr>
            <w:r>
              <w:rPr>
                <w:rFonts w:hint="eastAsia" w:eastAsia="方正仿宋_GBK"/>
                <w:color w:val="000000" w:themeColor="text1"/>
                <w:szCs w:val="21"/>
                <w:lang w:val="en-US" w:eastAsia="zh-CN"/>
                <w14:textFill>
                  <w14:solidFill>
                    <w14:schemeClr w14:val="tx1"/>
                  </w14:solidFill>
                </w14:textFill>
              </w:rPr>
              <w:t>5</w:t>
            </w:r>
          </w:p>
        </w:tc>
      </w:tr>
      <w:tr w14:paraId="68B56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ign w:val="center"/>
          </w:tcPr>
          <w:p w14:paraId="2D18DD3B"/>
        </w:tc>
        <w:tc>
          <w:tcPr>
            <w:tcW w:w="1078" w:type="dxa"/>
            <w:vMerge w:val="continue"/>
            <w:tcBorders>
              <w:top w:val="single" w:color="000000" w:sz="4" w:space="0"/>
              <w:left w:val="single" w:color="000000" w:sz="4" w:space="0"/>
              <w:bottom w:val="single" w:color="000000" w:sz="4" w:space="0"/>
              <w:right w:val="single" w:color="000000" w:sz="4" w:space="0"/>
            </w:tcBorders>
            <w:noWrap/>
            <w:vAlign w:val="center"/>
          </w:tcPr>
          <w:p w14:paraId="1FB6820B"/>
        </w:tc>
        <w:tc>
          <w:tcPr>
            <w:tcW w:w="1348" w:type="dxa"/>
            <w:tcBorders>
              <w:top w:val="single" w:color="000000" w:sz="4" w:space="0"/>
              <w:left w:val="single" w:color="000000" w:sz="4" w:space="0"/>
              <w:bottom w:val="single" w:color="000000" w:sz="4" w:space="0"/>
              <w:right w:val="single" w:color="000000" w:sz="4" w:space="0"/>
            </w:tcBorders>
            <w:noWrap/>
            <w:vAlign w:val="center"/>
          </w:tcPr>
          <w:p w14:paraId="5AB33F03">
            <w:pPr>
              <w:jc w:val="center"/>
              <w:rPr>
                <w:rFonts w:eastAsia="方正仿宋_GBK"/>
                <w:color w:val="000000"/>
                <w:kern w:val="0"/>
                <w:szCs w:val="21"/>
              </w:rPr>
            </w:pPr>
            <w:r>
              <w:rPr>
                <w:rFonts w:eastAsia="方正仿宋_GBK"/>
                <w:color w:val="000000"/>
                <w:kern w:val="0"/>
                <w:szCs w:val="21"/>
              </w:rPr>
              <w:t>质量指标</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346A780B">
            <w:pPr>
              <w:rPr>
                <w:rFonts w:eastAsia="方正仿宋_GBK"/>
                <w:color w:val="000000"/>
                <w:kern w:val="0"/>
                <w:szCs w:val="21"/>
              </w:rPr>
            </w:pPr>
            <w:r>
              <w:rPr>
                <w:rFonts w:eastAsia="方正仿宋_GBK"/>
                <w:color w:val="000000"/>
                <w:kern w:val="0"/>
                <w:szCs w:val="21"/>
              </w:rPr>
              <w:t>调研成果采用率</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8264BF6">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7A07CF6B">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90</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7FFF28E5">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48CE8687">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5</w:t>
            </w: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D22BC08">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default" w:eastAsia="方正仿宋_GBK"/>
                <w:color w:val="000000" w:themeColor="text1"/>
                <w:szCs w:val="21"/>
                <w:lang w:val="en-US" w:eastAsia="zh-CN"/>
                <w14:textFill>
                  <w14:solidFill>
                    <w14:schemeClr w14:val="tx1"/>
                  </w14:solidFill>
                </w14:textFill>
              </w:rPr>
            </w:pPr>
            <w:r>
              <w:rPr>
                <w:rFonts w:hint="eastAsia" w:eastAsia="方正仿宋_GBK"/>
                <w:color w:val="000000" w:themeColor="text1"/>
                <w:szCs w:val="21"/>
                <w:lang w:val="en-US" w:eastAsia="zh-CN"/>
                <w14:textFill>
                  <w14:solidFill>
                    <w14:schemeClr w14:val="tx1"/>
                  </w14:solidFill>
                </w14:textFill>
              </w:rPr>
              <w:t>90</w:t>
            </w:r>
          </w:p>
        </w:tc>
      </w:tr>
      <w:tr w14:paraId="46DEC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14:paraId="5145B3D5"/>
        </w:tc>
        <w:tc>
          <w:tcPr>
            <w:vMerge w:val="continue"/>
            <w:tcBorders>
              <w:top w:val="single" w:color="000000" w:sz="4" w:space="0"/>
              <w:left w:val="single" w:color="000000" w:sz="4" w:space="0"/>
              <w:bottom w:val="single" w:color="000000" w:sz="4" w:space="0"/>
              <w:right w:val="single" w:color="000000" w:sz="4" w:space="0"/>
            </w:tcBorders>
            <w:noWrap/>
            <w:vAlign w:val="center"/>
          </w:tcPr>
          <w:p w14:paraId="7AA8FFED"/>
        </w:tc>
        <w:tc>
          <w:tcPr>
            <w:tcBorders>
              <w:top w:val="single" w:color="000000" w:sz="4" w:space="0"/>
              <w:left w:val="single" w:color="000000" w:sz="4" w:space="0"/>
              <w:bottom w:val="single" w:color="000000" w:sz="4" w:space="0"/>
              <w:right w:val="single" w:color="000000" w:sz="4" w:space="0"/>
            </w:tcBorders>
            <w:noWrap/>
            <w:vAlign w:val="center"/>
          </w:tcPr>
          <w:p w14:paraId="1EF9F2EB">
            <w:pPr>
              <w:jc w:val="center"/>
              <w:rPr>
                <w:rFonts w:eastAsia="方正仿宋_GBK"/>
                <w:color w:val="000000"/>
                <w:kern w:val="0"/>
                <w:szCs w:val="21"/>
              </w:rPr>
            </w:pPr>
            <w:r>
              <w:rPr>
                <w:rFonts w:eastAsia="方正仿宋_GBK"/>
                <w:color w:val="000000"/>
                <w:kern w:val="0"/>
                <w:szCs w:val="21"/>
              </w:rPr>
              <w:t>质量指标</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3A30F35C">
            <w:pPr>
              <w:rPr>
                <w:rFonts w:eastAsia="方正仿宋_GBK"/>
                <w:color w:val="000000"/>
                <w:kern w:val="0"/>
                <w:szCs w:val="21"/>
              </w:rPr>
            </w:pPr>
            <w:r>
              <w:rPr>
                <w:rFonts w:eastAsia="方正仿宋_GBK"/>
                <w:color w:val="000000"/>
                <w:kern w:val="0"/>
                <w:szCs w:val="21"/>
              </w:rPr>
              <w:t>建言献策采纳率</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97EC9AA">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07459B47">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90</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5A5F2145">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0322FC78">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5</w:t>
            </w: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E368CC7">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default" w:eastAsia="方正仿宋_GBK"/>
                <w:color w:val="000000" w:themeColor="text1"/>
                <w:szCs w:val="21"/>
                <w:lang w:val="en-US" w:eastAsia="zh-CN"/>
                <w14:textFill>
                  <w14:solidFill>
                    <w14:schemeClr w14:val="tx1"/>
                  </w14:solidFill>
                </w14:textFill>
              </w:rPr>
            </w:pPr>
            <w:r>
              <w:rPr>
                <w:rFonts w:hint="eastAsia" w:eastAsia="方正仿宋_GBK"/>
                <w:color w:val="000000" w:themeColor="text1"/>
                <w:szCs w:val="21"/>
                <w:lang w:val="en-US" w:eastAsia="zh-CN"/>
                <w14:textFill>
                  <w14:solidFill>
                    <w14:schemeClr w14:val="tx1"/>
                  </w14:solidFill>
                </w14:textFill>
              </w:rPr>
              <w:t>90</w:t>
            </w:r>
          </w:p>
        </w:tc>
      </w:tr>
      <w:tr w14:paraId="63763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14:paraId="1987F9CB"/>
        </w:tc>
        <w:tc>
          <w:tcPr>
            <w:vMerge w:val="continue"/>
            <w:tcBorders>
              <w:top w:val="single" w:color="000000" w:sz="4" w:space="0"/>
              <w:left w:val="single" w:color="000000" w:sz="4" w:space="0"/>
              <w:bottom w:val="single" w:color="000000" w:sz="4" w:space="0"/>
              <w:right w:val="single" w:color="000000" w:sz="4" w:space="0"/>
            </w:tcBorders>
            <w:noWrap/>
            <w:vAlign w:val="center"/>
          </w:tcPr>
          <w:p w14:paraId="3391BFD8"/>
        </w:tc>
        <w:tc>
          <w:tcPr>
            <w:tcBorders>
              <w:top w:val="single" w:color="000000" w:sz="4" w:space="0"/>
              <w:left w:val="single" w:color="000000" w:sz="4" w:space="0"/>
              <w:bottom w:val="single" w:color="000000" w:sz="4" w:space="0"/>
              <w:right w:val="single" w:color="000000" w:sz="4" w:space="0"/>
            </w:tcBorders>
            <w:noWrap/>
            <w:vAlign w:val="center"/>
          </w:tcPr>
          <w:p w14:paraId="5731DBE9">
            <w:pPr>
              <w:jc w:val="center"/>
              <w:rPr>
                <w:rFonts w:eastAsia="方正仿宋_GBK"/>
                <w:color w:val="000000"/>
                <w:kern w:val="0"/>
                <w:szCs w:val="21"/>
              </w:rPr>
            </w:pPr>
            <w:r>
              <w:rPr>
                <w:rFonts w:eastAsia="方正仿宋_GBK"/>
                <w:color w:val="000000"/>
                <w:kern w:val="0"/>
                <w:szCs w:val="21"/>
              </w:rPr>
              <w:t>质量指标</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1CA113BE">
            <w:pPr>
              <w:rPr>
                <w:rFonts w:eastAsia="方正仿宋_GBK"/>
                <w:color w:val="000000"/>
                <w:kern w:val="0"/>
                <w:szCs w:val="21"/>
              </w:rPr>
            </w:pPr>
            <w:r>
              <w:rPr>
                <w:rFonts w:eastAsia="方正仿宋_GBK"/>
                <w:color w:val="000000"/>
                <w:kern w:val="0"/>
                <w:szCs w:val="21"/>
              </w:rPr>
              <w:t>提案采纳率</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69083139">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39DF804E">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90</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50817C5F">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58AC240D">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5</w:t>
            </w: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137D46D7">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default" w:eastAsia="方正仿宋_GBK"/>
                <w:color w:val="000000" w:themeColor="text1"/>
                <w:szCs w:val="21"/>
                <w:lang w:val="en-US" w:eastAsia="zh-CN"/>
                <w14:textFill>
                  <w14:solidFill>
                    <w14:schemeClr w14:val="tx1"/>
                  </w14:solidFill>
                </w14:textFill>
              </w:rPr>
            </w:pPr>
            <w:r>
              <w:rPr>
                <w:rFonts w:hint="eastAsia" w:eastAsia="方正仿宋_GBK"/>
                <w:color w:val="000000" w:themeColor="text1"/>
                <w:szCs w:val="21"/>
                <w:lang w:val="en-US" w:eastAsia="zh-CN"/>
                <w14:textFill>
                  <w14:solidFill>
                    <w14:schemeClr w14:val="tx1"/>
                  </w14:solidFill>
                </w14:textFill>
              </w:rPr>
              <w:t>50</w:t>
            </w:r>
          </w:p>
        </w:tc>
      </w:tr>
      <w:tr w14:paraId="28412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ign w:val="center"/>
          </w:tcPr>
          <w:p w14:paraId="464B8A59"/>
        </w:tc>
        <w:tc>
          <w:tcPr>
            <w:tcW w:w="1078" w:type="dxa"/>
            <w:vMerge w:val="continue"/>
            <w:tcBorders>
              <w:top w:val="single" w:color="000000" w:sz="4" w:space="0"/>
              <w:left w:val="single" w:color="000000" w:sz="4" w:space="0"/>
              <w:bottom w:val="single" w:color="000000" w:sz="4" w:space="0"/>
              <w:right w:val="single" w:color="000000" w:sz="4" w:space="0"/>
            </w:tcBorders>
            <w:noWrap/>
            <w:vAlign w:val="center"/>
          </w:tcPr>
          <w:p w14:paraId="6F63AF73"/>
        </w:tc>
        <w:tc>
          <w:tcPr>
            <w:tcW w:w="1348" w:type="dxa"/>
            <w:tcBorders>
              <w:top w:val="single" w:color="000000" w:sz="4" w:space="0"/>
              <w:left w:val="single" w:color="000000" w:sz="4" w:space="0"/>
              <w:bottom w:val="single" w:color="000000" w:sz="4" w:space="0"/>
              <w:right w:val="single" w:color="000000" w:sz="4" w:space="0"/>
            </w:tcBorders>
            <w:noWrap/>
            <w:vAlign w:val="center"/>
          </w:tcPr>
          <w:p w14:paraId="0AB07C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eastAsia="方正仿宋_GBK"/>
                <w:color w:val="000000"/>
                <w:kern w:val="0"/>
                <w:szCs w:val="21"/>
              </w:rPr>
            </w:pPr>
            <w:r>
              <w:rPr>
                <w:rFonts w:eastAsia="方正仿宋_GBK"/>
                <w:color w:val="000000"/>
                <w:kern w:val="0"/>
                <w:szCs w:val="21"/>
              </w:rPr>
              <w:t>时效指标</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3F30A41F">
            <w:pPr>
              <w:keepNext w:val="0"/>
              <w:keepLines w:val="0"/>
              <w:pageBreakBefore w:val="0"/>
              <w:widowControl/>
              <w:kinsoku/>
              <w:wordWrap/>
              <w:overflowPunct/>
              <w:topLinePunct w:val="0"/>
              <w:autoSpaceDE/>
              <w:autoSpaceDN/>
              <w:bidi w:val="0"/>
              <w:adjustRightInd/>
              <w:snapToGrid/>
              <w:spacing w:line="300" w:lineRule="exact"/>
              <w:jc w:val="center"/>
              <w:outlineLvl w:val="9"/>
              <w:rPr>
                <w:rFonts w:eastAsia="方正仿宋_GBK"/>
                <w:color w:val="000000"/>
                <w:kern w:val="0"/>
                <w:szCs w:val="21"/>
              </w:rPr>
            </w:pPr>
            <w:r>
              <w:rPr>
                <w:rFonts w:eastAsia="方正仿宋_GBK"/>
                <w:color w:val="000000"/>
                <w:kern w:val="0"/>
                <w:szCs w:val="21"/>
              </w:rPr>
              <w:t>完成时间</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7984DBD">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75B20D0E">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hint="eastAsia" w:eastAsia="方正仿宋_GBK"/>
                <w:color w:val="000000"/>
                <w:szCs w:val="21"/>
              </w:rPr>
              <w:t>12</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48D737A0">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月</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3E3F9351">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hint="eastAsia" w:eastAsia="方正仿宋_GBK"/>
                <w:color w:val="000000"/>
                <w:szCs w:val="21"/>
              </w:rPr>
              <w:t>10</w:t>
            </w: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E3D90BC">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default" w:eastAsia="方正仿宋_GBK"/>
                <w:color w:val="000000" w:themeColor="text1"/>
                <w:szCs w:val="21"/>
                <w:lang w:val="en-US" w:eastAsia="zh-CN"/>
                <w14:textFill>
                  <w14:solidFill>
                    <w14:schemeClr w14:val="tx1"/>
                  </w14:solidFill>
                </w14:textFill>
              </w:rPr>
            </w:pPr>
            <w:r>
              <w:rPr>
                <w:rFonts w:hint="eastAsia" w:eastAsia="方正仿宋_GBK"/>
                <w:color w:val="000000" w:themeColor="text1"/>
                <w:szCs w:val="21"/>
                <w:lang w:val="en-US" w:eastAsia="zh-CN"/>
                <w14:textFill>
                  <w14:solidFill>
                    <w14:schemeClr w14:val="tx1"/>
                  </w14:solidFill>
                </w14:textFill>
              </w:rPr>
              <w:t>12</w:t>
            </w:r>
          </w:p>
        </w:tc>
      </w:tr>
      <w:tr w14:paraId="4DFCE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ign w:val="center"/>
          </w:tcPr>
          <w:p w14:paraId="1DC137D7"/>
        </w:tc>
        <w:tc>
          <w:tcPr>
            <w:tcW w:w="1078" w:type="dxa"/>
            <w:vMerge w:val="continue"/>
            <w:tcBorders>
              <w:top w:val="single" w:color="000000" w:sz="4" w:space="0"/>
              <w:left w:val="single" w:color="000000" w:sz="4" w:space="0"/>
              <w:bottom w:val="single" w:color="000000" w:sz="4" w:space="0"/>
              <w:right w:val="single" w:color="000000" w:sz="4" w:space="0"/>
            </w:tcBorders>
            <w:noWrap/>
            <w:vAlign w:val="center"/>
          </w:tcPr>
          <w:p w14:paraId="0E1DFA9C"/>
        </w:tc>
        <w:tc>
          <w:tcPr>
            <w:tcW w:w="1348" w:type="dxa"/>
            <w:tcBorders>
              <w:top w:val="single" w:color="000000" w:sz="4" w:space="0"/>
              <w:left w:val="single" w:color="000000" w:sz="4" w:space="0"/>
              <w:bottom w:val="single" w:color="000000" w:sz="4" w:space="0"/>
              <w:right w:val="single" w:color="000000" w:sz="4" w:space="0"/>
            </w:tcBorders>
            <w:noWrap/>
            <w:vAlign w:val="center"/>
          </w:tcPr>
          <w:p w14:paraId="2BFA683F">
            <w:pPr>
              <w:jc w:val="center"/>
              <w:rPr>
                <w:rFonts w:eastAsia="方正仿宋_GBK"/>
                <w:color w:val="000000"/>
                <w:kern w:val="0"/>
                <w:szCs w:val="21"/>
              </w:rPr>
            </w:pPr>
            <w:r>
              <w:rPr>
                <w:rFonts w:eastAsia="方正仿宋_GBK"/>
                <w:color w:val="000000"/>
                <w:kern w:val="0"/>
                <w:szCs w:val="21"/>
              </w:rPr>
              <w:t>成本指标</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793490A9">
            <w:pPr>
              <w:rPr>
                <w:rFonts w:eastAsia="方正仿宋_GBK"/>
                <w:color w:val="000000"/>
                <w:kern w:val="0"/>
                <w:szCs w:val="21"/>
              </w:rPr>
            </w:pPr>
            <w:r>
              <w:rPr>
                <w:rFonts w:eastAsia="方正仿宋_GBK"/>
                <w:color w:val="000000"/>
                <w:kern w:val="0"/>
                <w:szCs w:val="21"/>
              </w:rPr>
              <w:t>公益性岗位人员经费</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A915DEB">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7235A10E">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10</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016EC148">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eastAsia" w:eastAsia="方正仿宋_GBK"/>
                <w:color w:val="000000"/>
                <w:szCs w:val="21"/>
              </w:rPr>
            </w:pPr>
            <w:r>
              <w:rPr>
                <w:rFonts w:eastAsia="方正仿宋_GBK"/>
                <w:color w:val="000000"/>
                <w:szCs w:val="21"/>
              </w:rPr>
              <w:t>万元</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5F1B9C2D">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eastAsia" w:eastAsia="方正仿宋_GBK"/>
                <w:color w:val="000000"/>
                <w:szCs w:val="21"/>
              </w:rPr>
            </w:pPr>
            <w:r>
              <w:rPr>
                <w:rFonts w:eastAsia="方正仿宋_GBK"/>
                <w:color w:val="000000"/>
                <w:szCs w:val="21"/>
              </w:rPr>
              <w:t>5</w:t>
            </w: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4BFF35ED">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default"/>
                <w:lang w:val="en-US" w:eastAsia="zh-CN"/>
              </w:rPr>
            </w:pPr>
            <w:r>
              <w:rPr>
                <w:rFonts w:hint="eastAsia"/>
                <w:lang w:val="en-US" w:eastAsia="zh-CN"/>
              </w:rPr>
              <w:t>9.55</w:t>
            </w:r>
          </w:p>
        </w:tc>
      </w:tr>
      <w:tr w14:paraId="526E3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ign w:val="center"/>
          </w:tcPr>
          <w:p w14:paraId="0F07AFC0"/>
        </w:tc>
        <w:tc>
          <w:tcPr>
            <w:tcW w:w="1078" w:type="dxa"/>
            <w:vMerge w:val="continue"/>
            <w:tcBorders>
              <w:top w:val="single" w:color="000000" w:sz="4" w:space="0"/>
              <w:left w:val="single" w:color="000000" w:sz="4" w:space="0"/>
              <w:bottom w:val="single" w:color="000000" w:sz="4" w:space="0"/>
              <w:right w:val="single" w:color="000000" w:sz="4" w:space="0"/>
            </w:tcBorders>
            <w:noWrap/>
            <w:vAlign w:val="center"/>
          </w:tcPr>
          <w:p w14:paraId="5DCAD79E"/>
        </w:tc>
        <w:tc>
          <w:tcPr>
            <w:tcW w:w="1348" w:type="dxa"/>
            <w:tcBorders>
              <w:top w:val="single" w:color="000000" w:sz="4" w:space="0"/>
              <w:left w:val="single" w:color="000000" w:sz="4" w:space="0"/>
              <w:bottom w:val="single" w:color="000000" w:sz="4" w:space="0"/>
              <w:right w:val="single" w:color="000000" w:sz="4" w:space="0"/>
            </w:tcBorders>
            <w:noWrap/>
            <w:vAlign w:val="center"/>
          </w:tcPr>
          <w:p w14:paraId="119AA8AD">
            <w:pPr>
              <w:jc w:val="center"/>
              <w:rPr>
                <w:rFonts w:eastAsia="方正仿宋_GBK"/>
                <w:color w:val="000000"/>
                <w:kern w:val="0"/>
                <w:szCs w:val="21"/>
              </w:rPr>
            </w:pPr>
            <w:r>
              <w:rPr>
                <w:rFonts w:eastAsia="方正仿宋_GBK"/>
                <w:color w:val="000000"/>
                <w:kern w:val="0"/>
                <w:szCs w:val="21"/>
              </w:rPr>
              <w:t>成本指标</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21D32F17">
            <w:pPr>
              <w:rPr>
                <w:rFonts w:eastAsia="方正仿宋_GBK"/>
                <w:color w:val="000000"/>
                <w:kern w:val="0"/>
                <w:szCs w:val="21"/>
              </w:rPr>
            </w:pPr>
            <w:r>
              <w:rPr>
                <w:rFonts w:eastAsia="方正仿宋_GBK"/>
                <w:color w:val="000000"/>
                <w:kern w:val="0"/>
                <w:szCs w:val="21"/>
              </w:rPr>
              <w:t>日常运转保障经费</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7ED85890">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3F6955AD">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10</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2EBAE2C9">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eastAsia" w:eastAsia="方正仿宋_GBK"/>
                <w:color w:val="000000"/>
                <w:szCs w:val="21"/>
              </w:rPr>
            </w:pPr>
            <w:r>
              <w:rPr>
                <w:rFonts w:eastAsia="方正仿宋_GBK"/>
                <w:color w:val="000000"/>
                <w:szCs w:val="21"/>
              </w:rPr>
              <w:t>万元</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1475ABBC">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5</w:t>
            </w: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B465048">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default" w:eastAsia="方正仿宋_GBK"/>
                <w:color w:val="000000" w:themeColor="text1"/>
                <w:szCs w:val="21"/>
                <w:lang w:val="en-US" w:eastAsia="zh-CN"/>
                <w14:textFill>
                  <w14:solidFill>
                    <w14:schemeClr w14:val="tx1"/>
                  </w14:solidFill>
                </w14:textFill>
              </w:rPr>
            </w:pPr>
            <w:r>
              <w:rPr>
                <w:rFonts w:hint="eastAsia" w:eastAsia="方正仿宋_GBK"/>
                <w:color w:val="000000" w:themeColor="text1"/>
                <w:szCs w:val="21"/>
                <w:lang w:val="en-US" w:eastAsia="zh-CN"/>
                <w14:textFill>
                  <w14:solidFill>
                    <w14:schemeClr w14:val="tx1"/>
                  </w14:solidFill>
                </w14:textFill>
              </w:rPr>
              <w:t>9.9</w:t>
            </w:r>
          </w:p>
        </w:tc>
      </w:tr>
      <w:tr w14:paraId="48625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ign w:val="center"/>
          </w:tcPr>
          <w:p w14:paraId="6ED2E776"/>
        </w:tc>
        <w:tc>
          <w:tcPr>
            <w:tcW w:w="1078" w:type="dxa"/>
            <w:vMerge w:val="continue"/>
            <w:tcBorders>
              <w:top w:val="single" w:color="000000" w:sz="4" w:space="0"/>
              <w:left w:val="single" w:color="000000" w:sz="4" w:space="0"/>
              <w:bottom w:val="single" w:color="000000" w:sz="4" w:space="0"/>
              <w:right w:val="single" w:color="000000" w:sz="4" w:space="0"/>
            </w:tcBorders>
            <w:noWrap/>
            <w:vAlign w:val="center"/>
          </w:tcPr>
          <w:p w14:paraId="11933C88"/>
        </w:tc>
        <w:tc>
          <w:tcPr>
            <w:tcW w:w="1348" w:type="dxa"/>
            <w:tcBorders>
              <w:top w:val="single" w:color="000000" w:sz="4" w:space="0"/>
              <w:left w:val="single" w:color="000000" w:sz="4" w:space="0"/>
              <w:bottom w:val="single" w:color="000000" w:sz="4" w:space="0"/>
              <w:right w:val="single" w:color="000000" w:sz="4" w:space="0"/>
            </w:tcBorders>
            <w:noWrap/>
            <w:vAlign w:val="center"/>
          </w:tcPr>
          <w:p w14:paraId="102F2B73">
            <w:pPr>
              <w:jc w:val="center"/>
              <w:rPr>
                <w:rFonts w:eastAsia="方正仿宋_GBK"/>
                <w:color w:val="000000"/>
                <w:kern w:val="0"/>
                <w:szCs w:val="21"/>
              </w:rPr>
            </w:pPr>
            <w:r>
              <w:rPr>
                <w:rFonts w:eastAsia="方正仿宋_GBK"/>
                <w:color w:val="000000"/>
                <w:kern w:val="0"/>
                <w:szCs w:val="21"/>
              </w:rPr>
              <w:t>成本指标</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6122BDF0">
            <w:pPr>
              <w:rPr>
                <w:rFonts w:eastAsia="方正仿宋_GBK"/>
                <w:color w:val="000000"/>
                <w:kern w:val="0"/>
                <w:szCs w:val="21"/>
              </w:rPr>
            </w:pPr>
            <w:r>
              <w:rPr>
                <w:rFonts w:eastAsia="方正仿宋_GBK"/>
                <w:color w:val="000000"/>
                <w:kern w:val="0"/>
                <w:szCs w:val="21"/>
              </w:rPr>
              <w:t>考察调研经费</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7592411C">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43A935C7">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10</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0C48678A">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万元</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30E6D4E3">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hint="eastAsia" w:eastAsia="方正仿宋_GBK"/>
                <w:color w:val="000000"/>
                <w:szCs w:val="21"/>
              </w:rPr>
              <w:t>10</w:t>
            </w: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39A6A9A">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default" w:eastAsia="方正仿宋_GBK"/>
                <w:color w:val="000000" w:themeColor="text1"/>
                <w:szCs w:val="21"/>
                <w:lang w:val="en-US" w:eastAsia="zh-CN"/>
                <w14:textFill>
                  <w14:solidFill>
                    <w14:schemeClr w14:val="tx1"/>
                  </w14:solidFill>
                </w14:textFill>
              </w:rPr>
            </w:pPr>
            <w:r>
              <w:rPr>
                <w:rFonts w:hint="eastAsia" w:eastAsia="方正仿宋_GBK"/>
                <w:color w:val="000000" w:themeColor="text1"/>
                <w:szCs w:val="21"/>
                <w:lang w:val="en-US" w:eastAsia="zh-CN"/>
                <w14:textFill>
                  <w14:solidFill>
                    <w14:schemeClr w14:val="tx1"/>
                  </w14:solidFill>
                </w14:textFill>
              </w:rPr>
              <w:t>9.95</w:t>
            </w:r>
          </w:p>
        </w:tc>
      </w:tr>
      <w:tr w14:paraId="669AA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ign w:val="center"/>
          </w:tcPr>
          <w:p w14:paraId="54144AF4"/>
        </w:tc>
        <w:tc>
          <w:tcPr>
            <w:tcW w:w="1078" w:type="dxa"/>
            <w:vMerge w:val="restart"/>
            <w:tcBorders>
              <w:top w:val="single" w:color="000000" w:sz="4" w:space="0"/>
              <w:left w:val="single" w:color="000000" w:sz="4" w:space="0"/>
              <w:bottom w:val="single" w:color="000000" w:sz="4" w:space="0"/>
              <w:right w:val="single" w:color="000000" w:sz="4" w:space="0"/>
            </w:tcBorders>
            <w:noWrap/>
            <w:vAlign w:val="center"/>
          </w:tcPr>
          <w:p w14:paraId="0F04163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效益指标</w:t>
            </w:r>
          </w:p>
        </w:tc>
        <w:tc>
          <w:tcPr>
            <w:tcW w:w="1348" w:type="dxa"/>
            <w:tcBorders>
              <w:top w:val="single" w:color="000000" w:sz="4" w:space="0"/>
              <w:left w:val="single" w:color="000000" w:sz="4" w:space="0"/>
              <w:bottom w:val="nil"/>
              <w:right w:val="single" w:color="000000" w:sz="4" w:space="0"/>
            </w:tcBorders>
            <w:noWrap/>
            <w:vAlign w:val="center"/>
          </w:tcPr>
          <w:p w14:paraId="5549AB1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eastAsia="方正仿宋_GBK"/>
                <w:color w:val="000000"/>
                <w:kern w:val="0"/>
                <w:szCs w:val="21"/>
              </w:rPr>
            </w:pPr>
            <w:r>
              <w:rPr>
                <w:rFonts w:eastAsia="方正仿宋_GBK"/>
                <w:color w:val="000000"/>
                <w:kern w:val="0"/>
                <w:szCs w:val="21"/>
              </w:rPr>
              <w:t>经济效益</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7E1AF0EE">
            <w:pPr>
              <w:rPr>
                <w:rFonts w:eastAsia="方正仿宋_GBK"/>
                <w:color w:val="000000"/>
                <w:kern w:val="0"/>
                <w:szCs w:val="21"/>
              </w:rPr>
            </w:pPr>
            <w:r>
              <w:rPr>
                <w:rFonts w:eastAsia="方正仿宋_GBK"/>
                <w:color w:val="000000"/>
                <w:kern w:val="0"/>
                <w:szCs w:val="21"/>
              </w:rPr>
              <w:t>助推地方经济发展</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7E02CC32">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定性</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5EE212E4">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好</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3F9111FA">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07C7C4EF">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5</w:t>
            </w: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532B44C1">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eastAsia" w:eastAsia="方正仿宋_GBK"/>
                <w:color w:val="000000" w:themeColor="text1"/>
                <w:szCs w:val="21"/>
                <w:lang w:eastAsia="zh-CN"/>
                <w14:textFill>
                  <w14:solidFill>
                    <w14:schemeClr w14:val="tx1"/>
                  </w14:solidFill>
                </w14:textFill>
              </w:rPr>
            </w:pPr>
            <w:r>
              <w:rPr>
                <w:rFonts w:hint="eastAsia" w:eastAsia="方正仿宋_GBK"/>
                <w:color w:val="000000" w:themeColor="text1"/>
                <w:szCs w:val="21"/>
                <w:lang w:eastAsia="zh-CN"/>
                <w14:textFill>
                  <w14:solidFill>
                    <w14:schemeClr w14:val="tx1"/>
                  </w14:solidFill>
                </w14:textFill>
              </w:rPr>
              <w:t>好</w:t>
            </w:r>
          </w:p>
        </w:tc>
      </w:tr>
      <w:tr w14:paraId="569C1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ign w:val="center"/>
          </w:tcPr>
          <w:p w14:paraId="61C0EDAE"/>
        </w:tc>
        <w:tc>
          <w:tcPr>
            <w:tcW w:w="1078" w:type="dxa"/>
            <w:vMerge w:val="continue"/>
            <w:tcBorders>
              <w:top w:val="single" w:color="000000" w:sz="4" w:space="0"/>
              <w:left w:val="single" w:color="000000" w:sz="4" w:space="0"/>
              <w:bottom w:val="single" w:color="000000" w:sz="4" w:space="0"/>
              <w:right w:val="single" w:color="000000" w:sz="4" w:space="0"/>
            </w:tcBorders>
            <w:noWrap/>
            <w:vAlign w:val="center"/>
          </w:tcPr>
          <w:p w14:paraId="79F2042A"/>
        </w:tc>
        <w:tc>
          <w:tcPr>
            <w:tcW w:w="1348" w:type="dxa"/>
            <w:tcBorders>
              <w:top w:val="single" w:color="000000" w:sz="4" w:space="0"/>
              <w:left w:val="single" w:color="000000" w:sz="4" w:space="0"/>
              <w:bottom w:val="single" w:color="000000" w:sz="4" w:space="0"/>
              <w:right w:val="single" w:color="000000" w:sz="4" w:space="0"/>
            </w:tcBorders>
            <w:noWrap/>
            <w:vAlign w:val="center"/>
          </w:tcPr>
          <w:p w14:paraId="24A14E47">
            <w:pPr>
              <w:jc w:val="center"/>
              <w:rPr>
                <w:rFonts w:eastAsia="方正仿宋_GBK"/>
                <w:color w:val="000000"/>
                <w:kern w:val="0"/>
                <w:szCs w:val="21"/>
              </w:rPr>
            </w:pPr>
            <w:r>
              <w:rPr>
                <w:rFonts w:eastAsia="方正仿宋_GBK"/>
                <w:color w:val="000000"/>
                <w:kern w:val="0"/>
                <w:szCs w:val="21"/>
              </w:rPr>
              <w:t>社会效益</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49C150F1">
            <w:pPr>
              <w:rPr>
                <w:rFonts w:eastAsia="方正仿宋_GBK"/>
                <w:color w:val="000000"/>
                <w:kern w:val="0"/>
                <w:szCs w:val="21"/>
              </w:rPr>
            </w:pPr>
            <w:r>
              <w:rPr>
                <w:rFonts w:eastAsia="方正仿宋_GBK"/>
                <w:color w:val="000000"/>
                <w:kern w:val="0"/>
                <w:szCs w:val="21"/>
              </w:rPr>
              <w:t>助推地方扩大宣传</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D49C4F7">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定性</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1BDDE7ED">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好</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258F3C2F">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76F13A3">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5</w:t>
            </w: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0F3B44C">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eastAsia" w:eastAsia="方正仿宋_GBK"/>
                <w:color w:val="000000" w:themeColor="text1"/>
                <w:szCs w:val="21"/>
                <w:lang w:eastAsia="zh-CN"/>
                <w14:textFill>
                  <w14:solidFill>
                    <w14:schemeClr w14:val="tx1"/>
                  </w14:solidFill>
                </w14:textFill>
              </w:rPr>
            </w:pPr>
            <w:r>
              <w:rPr>
                <w:rFonts w:hint="eastAsia" w:eastAsia="方正仿宋_GBK"/>
                <w:color w:val="000000" w:themeColor="text1"/>
                <w:szCs w:val="21"/>
                <w:lang w:eastAsia="zh-CN"/>
                <w14:textFill>
                  <w14:solidFill>
                    <w14:schemeClr w14:val="tx1"/>
                  </w14:solidFill>
                </w14:textFill>
              </w:rPr>
              <w:t>好</w:t>
            </w:r>
          </w:p>
        </w:tc>
      </w:tr>
      <w:tr w14:paraId="6FBC3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vMerge w:val="continue"/>
            <w:tcBorders>
              <w:top w:val="single" w:color="000000" w:sz="4" w:space="0"/>
              <w:left w:val="single" w:color="000000" w:sz="4" w:space="0"/>
              <w:bottom w:val="single" w:color="000000" w:sz="4" w:space="0"/>
              <w:right w:val="single" w:color="000000" w:sz="4" w:space="0"/>
            </w:tcBorders>
            <w:noWrap/>
            <w:vAlign w:val="center"/>
          </w:tcPr>
          <w:p w14:paraId="1D484E45"/>
        </w:tc>
        <w:tc>
          <w:tcPr>
            <w:tcW w:w="1078" w:type="dxa"/>
            <w:vMerge w:val="continue"/>
            <w:tcBorders>
              <w:top w:val="single" w:color="000000" w:sz="4" w:space="0"/>
              <w:left w:val="single" w:color="000000" w:sz="4" w:space="0"/>
              <w:bottom w:val="single" w:color="000000" w:sz="4" w:space="0"/>
              <w:right w:val="single" w:color="000000" w:sz="4" w:space="0"/>
            </w:tcBorders>
            <w:noWrap/>
            <w:vAlign w:val="center"/>
          </w:tcPr>
          <w:p w14:paraId="0272F9C3"/>
        </w:tc>
        <w:tc>
          <w:tcPr>
            <w:tcBorders>
              <w:top w:val="single" w:color="000000" w:sz="4" w:space="0"/>
              <w:left w:val="single" w:color="000000" w:sz="4" w:space="0"/>
              <w:bottom w:val="single" w:color="000000" w:sz="4" w:space="0"/>
              <w:right w:val="single" w:color="000000" w:sz="4" w:space="0"/>
            </w:tcBorders>
            <w:noWrap/>
            <w:vAlign w:val="center"/>
          </w:tcPr>
          <w:p w14:paraId="065CE4BA">
            <w:pPr>
              <w:jc w:val="center"/>
              <w:rPr>
                <w:rFonts w:eastAsia="方正仿宋_GBK"/>
                <w:color w:val="000000"/>
                <w:kern w:val="0"/>
                <w:szCs w:val="21"/>
              </w:rPr>
            </w:pPr>
            <w:r>
              <w:rPr>
                <w:rFonts w:eastAsia="方正仿宋_GBK"/>
                <w:color w:val="000000"/>
                <w:kern w:val="0"/>
                <w:szCs w:val="21"/>
              </w:rPr>
              <w:t>可持续影响</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42A71B6A">
            <w:pPr>
              <w:rPr>
                <w:rFonts w:eastAsia="方正仿宋_GBK"/>
                <w:color w:val="000000"/>
                <w:kern w:val="0"/>
                <w:szCs w:val="21"/>
              </w:rPr>
            </w:pPr>
            <w:r>
              <w:rPr>
                <w:rFonts w:eastAsia="方正仿宋_GBK"/>
                <w:color w:val="000000"/>
                <w:kern w:val="0"/>
                <w:szCs w:val="21"/>
              </w:rPr>
              <w:t>助推地方持续健康发展</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59A4322D">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定性</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01DE3F9B">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好</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6766735B">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6DAFAC59">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10</w:t>
            </w: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036E3B18">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eastAsia" w:eastAsia="方正仿宋_GBK"/>
                <w:color w:val="000000"/>
                <w:szCs w:val="21"/>
                <w:lang w:eastAsia="zh-CN"/>
              </w:rPr>
            </w:pPr>
            <w:r>
              <w:rPr>
                <w:rFonts w:hint="eastAsia" w:eastAsia="方正仿宋_GBK"/>
                <w:color w:val="000000"/>
                <w:szCs w:val="21"/>
                <w:lang w:eastAsia="zh-CN"/>
              </w:rPr>
              <w:t>好</w:t>
            </w:r>
          </w:p>
        </w:tc>
      </w:tr>
      <w:tr w14:paraId="248BA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42" w:type="dxa"/>
            <w:vMerge w:val="continue"/>
            <w:tcBorders>
              <w:top w:val="single" w:color="000000" w:sz="4" w:space="0"/>
              <w:left w:val="single" w:color="000000" w:sz="4" w:space="0"/>
              <w:bottom w:val="single" w:color="000000" w:sz="4" w:space="0"/>
              <w:right w:val="single" w:color="000000" w:sz="4" w:space="0"/>
            </w:tcBorders>
            <w:noWrap/>
            <w:vAlign w:val="center"/>
          </w:tcPr>
          <w:p w14:paraId="68E8A0F7"/>
        </w:tc>
        <w:tc>
          <w:tcPr>
            <w:tcW w:w="1078" w:type="dxa"/>
            <w:tcBorders>
              <w:top w:val="single" w:color="000000" w:sz="4" w:space="0"/>
              <w:left w:val="single" w:color="000000" w:sz="4" w:space="0"/>
              <w:bottom w:val="single" w:color="000000" w:sz="4" w:space="0"/>
              <w:right w:val="single" w:color="000000" w:sz="4" w:space="0"/>
            </w:tcBorders>
            <w:noWrap/>
            <w:vAlign w:val="center"/>
          </w:tcPr>
          <w:p w14:paraId="75240493">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方正仿宋_GBK"/>
                <w:color w:val="000000"/>
                <w:szCs w:val="21"/>
                <w:u w:val="none"/>
              </w:rPr>
            </w:pPr>
            <w:r>
              <w:rPr>
                <w:rFonts w:ascii="Times New Roman" w:hAnsi="Times New Roman" w:eastAsia="方正仿宋_GBK"/>
                <w:color w:val="000000"/>
                <w:kern w:val="0"/>
                <w:szCs w:val="21"/>
                <w:u w:val="none"/>
                <w:lang w:val="en-US" w:eastAsia="zh-CN"/>
              </w:rPr>
              <w:t>满意度指标</w:t>
            </w:r>
          </w:p>
        </w:tc>
        <w:tc>
          <w:tcPr>
            <w:tcW w:w="1348" w:type="dxa"/>
            <w:tcBorders>
              <w:top w:val="single" w:color="000000" w:sz="4" w:space="0"/>
              <w:left w:val="single" w:color="000000" w:sz="4" w:space="0"/>
              <w:bottom w:val="single" w:color="000000" w:sz="4" w:space="0"/>
              <w:right w:val="single" w:color="000000" w:sz="4" w:space="0"/>
            </w:tcBorders>
            <w:noWrap/>
            <w:vAlign w:val="center"/>
          </w:tcPr>
          <w:p w14:paraId="4238FE1F">
            <w:pPr>
              <w:jc w:val="center"/>
              <w:rPr>
                <w:rFonts w:eastAsia="方正仿宋_GBK"/>
                <w:color w:val="000000"/>
                <w:kern w:val="0"/>
                <w:szCs w:val="21"/>
              </w:rPr>
            </w:pPr>
            <w:r>
              <w:rPr>
                <w:rFonts w:eastAsia="方正仿宋_GBK"/>
                <w:color w:val="000000"/>
                <w:kern w:val="0"/>
                <w:szCs w:val="21"/>
              </w:rPr>
              <w:t>服务对象满意度</w:t>
            </w:r>
          </w:p>
        </w:tc>
        <w:tc>
          <w:tcPr>
            <w:tcW w:w="1176" w:type="dxa"/>
            <w:tcBorders>
              <w:top w:val="single" w:color="000000" w:sz="4" w:space="0"/>
              <w:left w:val="single" w:color="000000" w:sz="4" w:space="0"/>
              <w:bottom w:val="single" w:color="000000" w:sz="4" w:space="0"/>
              <w:right w:val="single" w:color="000000" w:sz="4" w:space="0"/>
            </w:tcBorders>
            <w:noWrap/>
            <w:vAlign w:val="center"/>
          </w:tcPr>
          <w:p w14:paraId="4AD10CB8">
            <w:pPr>
              <w:rPr>
                <w:rFonts w:eastAsia="方正仿宋_GBK"/>
                <w:color w:val="000000"/>
                <w:kern w:val="0"/>
                <w:szCs w:val="21"/>
              </w:rPr>
            </w:pPr>
            <w:r>
              <w:rPr>
                <w:rFonts w:eastAsia="方正仿宋_GBK"/>
                <w:color w:val="000000"/>
                <w:kern w:val="0"/>
                <w:szCs w:val="21"/>
              </w:rPr>
              <w:t>服务对象满意度</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D24B498">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1079" w:type="dxa"/>
            <w:tcBorders>
              <w:top w:val="single" w:color="000000" w:sz="4" w:space="0"/>
              <w:left w:val="single" w:color="000000" w:sz="4" w:space="0"/>
              <w:bottom w:val="single" w:color="000000" w:sz="4" w:space="0"/>
              <w:right w:val="single" w:color="000000" w:sz="4" w:space="0"/>
            </w:tcBorders>
            <w:noWrap/>
            <w:vAlign w:val="center"/>
          </w:tcPr>
          <w:p w14:paraId="5E9BB7FC">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90</w:t>
            </w:r>
          </w:p>
        </w:tc>
        <w:tc>
          <w:tcPr>
            <w:tcW w:w="1295" w:type="dxa"/>
            <w:tcBorders>
              <w:top w:val="single" w:color="000000" w:sz="4" w:space="0"/>
              <w:left w:val="single" w:color="000000" w:sz="4" w:space="0"/>
              <w:bottom w:val="single" w:color="000000" w:sz="4" w:space="0"/>
              <w:right w:val="single" w:color="000000" w:sz="4" w:space="0"/>
            </w:tcBorders>
            <w:noWrap/>
            <w:vAlign w:val="center"/>
          </w:tcPr>
          <w:p w14:paraId="1F26AB3C">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w:t>
            </w:r>
          </w:p>
        </w:tc>
        <w:tc>
          <w:tcPr>
            <w:tcW w:w="886" w:type="dxa"/>
            <w:tcBorders>
              <w:top w:val="single" w:color="000000" w:sz="4" w:space="0"/>
              <w:left w:val="single" w:color="000000" w:sz="4" w:space="0"/>
              <w:bottom w:val="single" w:color="000000" w:sz="4" w:space="0"/>
              <w:right w:val="single" w:color="000000" w:sz="4" w:space="0"/>
            </w:tcBorders>
            <w:noWrap/>
            <w:vAlign w:val="center"/>
          </w:tcPr>
          <w:p w14:paraId="7627A444">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eastAsia="方正仿宋_GBK"/>
                <w:color w:val="000000"/>
                <w:szCs w:val="21"/>
              </w:rPr>
            </w:pPr>
            <w:r>
              <w:rPr>
                <w:rFonts w:eastAsia="方正仿宋_GBK"/>
                <w:color w:val="000000"/>
                <w:szCs w:val="21"/>
              </w:rPr>
              <w:t>10</w:t>
            </w:r>
          </w:p>
        </w:tc>
        <w:tc>
          <w:tcPr>
            <w:tcW w:w="887" w:type="dxa"/>
            <w:tcBorders>
              <w:top w:val="single" w:color="000000" w:sz="4" w:space="0"/>
              <w:left w:val="single" w:color="000000" w:sz="4" w:space="0"/>
              <w:bottom w:val="single" w:color="000000" w:sz="4" w:space="0"/>
              <w:right w:val="single" w:color="000000" w:sz="4" w:space="0"/>
            </w:tcBorders>
            <w:noWrap/>
            <w:vAlign w:val="center"/>
          </w:tcPr>
          <w:p w14:paraId="340517E9">
            <w:pPr>
              <w:keepNext w:val="0"/>
              <w:keepLines w:val="0"/>
              <w:pageBreakBefore w:val="0"/>
              <w:widowControl/>
              <w:suppressLineNumbers w:val="0"/>
              <w:kinsoku/>
              <w:wordWrap/>
              <w:overflowPunct/>
              <w:topLinePunct w:val="0"/>
              <w:autoSpaceDE/>
              <w:autoSpaceDN/>
              <w:adjustRightInd/>
              <w:snapToGrid/>
              <w:spacing w:line="300" w:lineRule="exact"/>
              <w:jc w:val="center"/>
              <w:textAlignment w:val="center"/>
              <w:rPr>
                <w:rFonts w:hint="default" w:eastAsia="方正仿宋_GBK"/>
                <w:color w:val="000000"/>
                <w:szCs w:val="21"/>
                <w:lang w:val="en-US" w:eastAsia="zh-CN"/>
              </w:rPr>
            </w:pPr>
            <w:r>
              <w:rPr>
                <w:rFonts w:hint="eastAsia" w:eastAsia="方正仿宋_GBK"/>
                <w:color w:val="000000"/>
                <w:szCs w:val="21"/>
                <w:lang w:val="en-US" w:eastAsia="zh-CN"/>
              </w:rPr>
              <w:t>100</w:t>
            </w:r>
          </w:p>
        </w:tc>
      </w:tr>
    </w:tbl>
    <w:p w14:paraId="5D4FCFF7">
      <w:pPr>
        <w:keepNext w:val="0"/>
        <w:keepLines w:val="0"/>
        <w:pageBreakBefore w:val="0"/>
        <w:widowControl w:val="0"/>
        <w:suppressLineNumbers w:val="0"/>
        <w:suppressAutoHyphens w:val="0"/>
        <w:bidi w:val="0"/>
        <w:rPr>
          <w:rFonts w:hint="eastAsia"/>
        </w:rPr>
      </w:pPr>
    </w:p>
    <w:p w14:paraId="21388B56">
      <w:pPr>
        <w:pStyle w:val="8"/>
        <w:rPr>
          <w:rFonts w:hint="eastAsia" w:ascii="Times New Roman" w:hAnsi="Times New Roman" w:cs="宋体"/>
          <w:color w:val="FF0000"/>
          <w:kern w:val="0"/>
          <w:sz w:val="32"/>
          <w:szCs w:val="32"/>
          <w:highlight w:val="yellow"/>
          <w:shd w:val="clear" w:color="auto" w:fill="FFFFFF"/>
          <w:lang w:val="zh-CN"/>
        </w:rPr>
      </w:pPr>
    </w:p>
    <w:p w14:paraId="6815FD43">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6E316A37">
      <w:pPr>
        <w:widowControl/>
        <w:jc w:val="center"/>
        <w:rPr>
          <w:rFonts w:hint="eastAsia" w:ascii="Times New Roman" w:hAnsi="Times New Roman" w:eastAsia="仿宋"/>
          <w:b w:val="0"/>
          <w:color w:val="auto"/>
          <w:highlight w:val="none"/>
        </w:rPr>
      </w:pPr>
      <w:bookmarkStart w:id="54" w:name="_Toc15396618"/>
      <w:r>
        <w:rPr>
          <w:rFonts w:hint="eastAsia" w:ascii="Times New Roman" w:hAnsi="Times New Roman" w:eastAsia="黑体"/>
          <w:color w:val="auto"/>
          <w:sz w:val="44"/>
          <w:szCs w:val="44"/>
          <w:highlight w:val="none"/>
        </w:rPr>
        <w:t>第</w:t>
      </w:r>
      <w:r>
        <w:rPr>
          <w:rStyle w:val="19"/>
          <w:rFonts w:hint="eastAsia" w:ascii="Times New Roman" w:hAnsi="Times New Roman" w:eastAsia="黑体"/>
          <w:b w:val="0"/>
          <w:color w:val="auto"/>
          <w:highlight w:val="none"/>
        </w:rPr>
        <w:t>五部分 附表</w:t>
      </w:r>
      <w:bookmarkEnd w:id="51"/>
      <w:bookmarkEnd w:id="54"/>
      <w:bookmarkStart w:id="55" w:name="_Toc15396619"/>
    </w:p>
    <w:p w14:paraId="37D9258C">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9CC8E4F">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7F0D3812">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0341C519">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3C613AC6">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5BA0D3D1">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12227A9A">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671EBE66">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7A71B41B">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349C84F1">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21EBCCDA">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0089A05C">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1CE5FFB">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55A2F7F1">
      <w:pPr>
        <w:pStyle w:val="14"/>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59DE8558">
      <w:pPr>
        <w:rPr>
          <w:rFonts w:hint="eastAsia" w:ascii="Times New Roman" w:hAnsi="Times New Roman"/>
          <w:lang w:eastAsia="zh-CN"/>
        </w:rPr>
      </w:pPr>
    </w:p>
    <w:sectPr>
      <w:footerReference r:id="rId4" w:type="first"/>
      <w:footerReference r:id="rId3"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ESRI AMFM Electric"/>
    <w:panose1 w:val="00000000000000000000"/>
    <w:charset w:val="00"/>
    <w:family w:val="roman"/>
    <w:pitch w:val="default"/>
    <w:sig w:usb0="00000000" w:usb1="00000000" w:usb2="00000000" w:usb3="00000000" w:csb0="00000000" w:csb1="00000000"/>
  </w:font>
  <w:font w:name="ESRI AMFM Electric">
    <w:panose1 w:val="02000400000000000000"/>
    <w:charset w:val="00"/>
    <w:family w:val="auto"/>
    <w:pitch w:val="default"/>
    <w:sig w:usb0="00000003" w:usb1="00000000" w:usb2="00000000" w:usb3="00000000" w:csb0="00000001"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文泉驿微米黑">
    <w:altName w:val="黑体"/>
    <w:panose1 w:val="020B0606030804020204"/>
    <w:charset w:val="86"/>
    <w:family w:val="auto"/>
    <w:pitch w:val="default"/>
    <w:sig w:usb0="00000000" w:usb1="00000000" w:usb2="00800036" w:usb3="00000000" w:csb0="603E01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C9103">
    <w:pPr>
      <w:pStyle w:val="11"/>
      <w:tabs>
        <w:tab w:val="left" w:pos="3096"/>
      </w:tabs>
      <w:jc w:val="left"/>
      <w:rPr>
        <w:rFonts w:hint="eastAsia" w:eastAsia="宋体"/>
        <w:lang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5B33BA">
                          <w:pPr>
                            <w:pStyle w:val="11"/>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A5B33BA">
                    <w:pPr>
                      <w:pStyle w:val="11"/>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r>
      <w:rPr>
        <w:rFonts w:hint="eastAsia"/>
        <w:lang w:eastAsia="zh-CN"/>
      </w:rPr>
      <w:tab/>
    </w:r>
  </w:p>
  <w:p w14:paraId="29B9D2B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57262">
    <w:pPr>
      <w:pStyle w:val="11"/>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94945" cy="188595"/>
              <wp:effectExtent l="0" t="0" r="0" b="0"/>
              <wp:wrapNone/>
              <wp:docPr id="1" name="文本框 6"/>
              <wp:cNvGraphicFramePr/>
              <a:graphic xmlns:a="http://schemas.openxmlformats.org/drawingml/2006/main">
                <a:graphicData uri="http://schemas.microsoft.com/office/word/2010/wordprocessingShape">
                  <wps:wsp>
                    <wps:cNvSpPr/>
                    <wps:spPr>
                      <a:xfrm>
                        <a:off x="0" y="0"/>
                        <a:ext cx="194767" cy="188594"/>
                      </a:xfrm>
                      <a:prstGeom prst="rect">
                        <a:avLst/>
                      </a:prstGeom>
                      <a:noFill/>
                      <a:ln w="6350" cap="flat" cmpd="sng">
                        <a:noFill/>
                        <a:prstDash val="solid"/>
                        <a:round/>
                      </a:ln>
                    </wps:spPr>
                    <wps:txbx>
                      <w:txbxContent>
                        <w:p w14:paraId="19DF629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rect id="文本框 6" o:spid="_x0000_s1026" o:spt="1" style="position:absolute;left:0pt;margin-top:0pt;height:14.85pt;width:15.35pt;mso-position-horizontal:center;mso-position-horizontal-relative:margin;mso-wrap-style:none;z-index:251659264;mso-width-relative:page;mso-height-relative:page;" filled="f" stroked="f" coordsize="21600,21600" o:gfxdata="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xbTsKNcAAAADAQAADwAAAAAAAAABACAAAAAiAAAAZHJz&#10;L2Rvd25yZXYueG1sUEsBAhQAFAAAAAgAh07iQA9PlB4FAgAA9AMAAA4AAAAAAAAAAQAgAAAAJgEA&#10;AGRycy9lMm9Eb2MueG1sUEsFBgAAAAAGAAYAWQEAAJ0FAAAAAA==&#10;">
              <v:fill on="f" focussize="0,0"/>
              <v:stroke on="f" weight="0.5pt" joinstyle="round"/>
              <v:imagedata o:title=""/>
              <o:lock v:ext="edit" aspectratio="f"/>
              <v:textbox inset="0mm,0mm,0mm,0mm" style="mso-fit-shape-to-text:t;">
                <w:txbxContent>
                  <w:p w14:paraId="19DF629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065A1D10"/>
    <w:rsid w:val="17CF4C5F"/>
    <w:rsid w:val="192561AE"/>
    <w:rsid w:val="6F0940E2"/>
    <w:rsid w:val="7DEB18F7"/>
    <w:rsid w:val="7FE56B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19"/>
    <w:qFormat/>
    <w:uiPriority w:val="0"/>
    <w:pPr>
      <w:keepNext/>
      <w:keepLines/>
      <w:widowControl w:val="0"/>
      <w:spacing w:before="340" w:after="330" w:line="578" w:lineRule="auto"/>
      <w:outlineLvl w:val="0"/>
    </w:pPr>
    <w:rPr>
      <w:b/>
      <w:bCs/>
      <w:kern w:val="44"/>
      <w:sz w:val="44"/>
      <w:szCs w:val="44"/>
    </w:rPr>
  </w:style>
  <w:style w:type="paragraph" w:styleId="6">
    <w:name w:val="heading 2"/>
    <w:basedOn w:val="1"/>
    <w:next w:val="1"/>
    <w:link w:val="20"/>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7">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6">
    <w:name w:val="Default Paragraph Font"/>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First Indent 2"/>
    <w:basedOn w:val="4"/>
    <w:next w:val="1"/>
    <w:qFormat/>
    <w:uiPriority w:val="0"/>
    <w:pPr>
      <w:ind w:firstLine="200" w:firstLineChars="200"/>
    </w:pPr>
  </w:style>
  <w:style w:type="paragraph" w:styleId="4">
    <w:name w:val="Body Text Indent"/>
    <w:basedOn w:val="1"/>
    <w:next w:val="3"/>
    <w:qFormat/>
    <w:uiPriority w:val="0"/>
    <w:pPr>
      <w:spacing w:after="120"/>
      <w:ind w:left="200" w:leftChars="200"/>
    </w:pPr>
    <w:rPr>
      <w:rFonts w:ascii="仿宋_GB2312" w:hAnsi="仿宋_GB2312"/>
      <w:szCs w:val="32"/>
    </w:rPr>
  </w:style>
  <w:style w:type="paragraph" w:styleId="8">
    <w:name w:val="Body Text"/>
    <w:basedOn w:val="1"/>
    <w:qFormat/>
    <w:uiPriority w:val="0"/>
    <w:pPr>
      <w:spacing w:before="30" w:beforeLines="30"/>
    </w:pPr>
    <w:rPr>
      <w:rFonts w:ascii="仿宋_GB2312" w:eastAsia="仿宋_GB2312"/>
      <w:kern w:val="0"/>
      <w:sz w:val="30"/>
    </w:rPr>
  </w:style>
  <w:style w:type="paragraph" w:styleId="9">
    <w:name w:val="toc 3"/>
    <w:basedOn w:val="1"/>
    <w:next w:val="1"/>
    <w:qFormat/>
    <w:uiPriority w:val="0"/>
    <w:pPr>
      <w:tabs>
        <w:tab w:val="right" w:leader="dot" w:pos="8296"/>
      </w:tabs>
      <w:ind w:left="400" w:leftChars="4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qFormat/>
    <w:uiPriority w:val="0"/>
    <w:pPr>
      <w:tabs>
        <w:tab w:val="right" w:leader="dot" w:pos="8296"/>
      </w:tabs>
      <w:spacing w:before="93"/>
      <w:jc w:val="center"/>
    </w:pPr>
    <w:rPr>
      <w:rFonts w:ascii="仿宋" w:eastAsia="仿宋"/>
      <w:sz w:val="28"/>
      <w:szCs w:val="28"/>
    </w:rPr>
  </w:style>
  <w:style w:type="paragraph" w:styleId="14">
    <w:name w:val="toc 2"/>
    <w:basedOn w:val="1"/>
    <w:next w:val="1"/>
    <w:qFormat/>
    <w:uiPriority w:val="0"/>
    <w:pPr>
      <w:tabs>
        <w:tab w:val="right" w:leader="dot" w:pos="8296"/>
      </w:tabs>
      <w:ind w:left="200" w:leftChars="200"/>
    </w:pPr>
  </w:style>
  <w:style w:type="character" w:styleId="17">
    <w:name w:val="Strong"/>
    <w:basedOn w:val="16"/>
    <w:qFormat/>
    <w:uiPriority w:val="0"/>
    <w:rPr>
      <w:b/>
    </w:rPr>
  </w:style>
  <w:style w:type="character" w:styleId="18">
    <w:name w:val="Hyperlink"/>
    <w:basedOn w:val="16"/>
    <w:qFormat/>
    <w:uiPriority w:val="0"/>
    <w:rPr>
      <w:color w:val="0000FF"/>
      <w:u w:val="single"/>
    </w:rPr>
  </w:style>
  <w:style w:type="character" w:customStyle="1" w:styleId="19">
    <w:name w:val="heading 1 Char"/>
    <w:basedOn w:val="16"/>
    <w:link w:val="5"/>
    <w:qFormat/>
    <w:uiPriority w:val="0"/>
    <w:rPr>
      <w:rFonts w:ascii="Times New Roman" w:hAnsi="Times New Roman" w:eastAsia="宋体" w:cs="Times New Roman"/>
      <w:b/>
      <w:bCs/>
      <w:kern w:val="44"/>
      <w:sz w:val="44"/>
      <w:szCs w:val="44"/>
      <w:lang w:val="en-US" w:eastAsia="zh-CN" w:bidi="ar-SA"/>
    </w:rPr>
  </w:style>
  <w:style w:type="character" w:customStyle="1" w:styleId="20">
    <w:name w:val="heading 2 Char"/>
    <w:basedOn w:val="16"/>
    <w:link w:val="6"/>
    <w:qFormat/>
    <w:uiPriority w:val="0"/>
    <w:rPr>
      <w:rFonts w:ascii="Cambria" w:hAnsi="Cambria" w:eastAsia="宋体" w:cs="Times New Roman"/>
      <w:b/>
      <w:bCs/>
      <w:kern w:val="2"/>
      <w:sz w:val="32"/>
      <w:szCs w:val="32"/>
      <w:lang w:val="en-US" w:eastAsia="zh-CN" w:bidi="ar-SA"/>
    </w:rPr>
  </w:style>
  <w:style w:type="paragraph" w:customStyle="1" w:styleId="21">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6"/>
    <w:qFormat/>
    <w:uiPriority w:val="0"/>
    <w:rPr>
      <w:rFonts w:ascii="Times New Roman" w:hAnsi="Times New Roman"/>
      <w:sz w:val="18"/>
      <w:szCs w:val="18"/>
    </w:rPr>
  </w:style>
  <w:style w:type="character" w:customStyle="1" w:styleId="23">
    <w:name w:val="Footer Char"/>
    <w:basedOn w:val="16"/>
    <w:qFormat/>
    <w:uiPriority w:val="0"/>
    <w:rPr>
      <w:rFonts w:ascii="Times New Roman" w:hAnsi="Times New Roman"/>
      <w:sz w:val="18"/>
      <w:szCs w:val="18"/>
    </w:rPr>
  </w:style>
  <w:style w:type="character" w:customStyle="1" w:styleId="24">
    <w:name w:val="Body Text Char"/>
    <w:basedOn w:val="16"/>
    <w:qFormat/>
    <w:uiPriority w:val="0"/>
    <w:rPr>
      <w:rFonts w:ascii="Times New Roman" w:hAnsi="Times New Roman"/>
      <w:szCs w:val="24"/>
    </w:rPr>
  </w:style>
  <w:style w:type="paragraph" w:customStyle="1" w:styleId="25">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6">
    <w:name w:val="List Paragraph"/>
    <w:basedOn w:val="1"/>
    <w:qFormat/>
    <w:uiPriority w:val="0"/>
    <w:pPr>
      <w:ind w:firstLine="200" w:firstLineChars="200"/>
    </w:pPr>
  </w:style>
  <w:style w:type="paragraph" w:customStyle="1" w:styleId="27">
    <w:name w:val="TOC 标题1"/>
    <w:basedOn w:val="5"/>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28">
    <w:name w:val="TOC Heading"/>
    <w:basedOn w:val="5"/>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29">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0">
    <w:name w:val="font31"/>
    <w:qFormat/>
    <w:uiPriority w:val="0"/>
    <w:rPr>
      <w:rFonts w:ascii="方正仿宋_GBK" w:eastAsia="方正仿宋_GBK" w:cs="方正仿宋_GBK"/>
      <w:color w:val="000000"/>
      <w:sz w:val="18"/>
      <w:szCs w:val="18"/>
      <w:u w:val="none"/>
    </w:rPr>
  </w:style>
  <w:style w:type="character" w:customStyle="1" w:styleId="31">
    <w:name w:val="font11"/>
    <w:qFormat/>
    <w:uiPriority w:val="0"/>
    <w:rPr>
      <w:rFonts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5a4a4dfc-9375-43d8-8e11-aa83d116a746</errorID>
      <errorWord>，</errorWord>
      <group>L1_Word</group>
      <groupName>字词问题</groupName>
      <ability>L2_Typo</ability>
      <abilityName>字词错误</abilityName>
      <candidateList>
        <item>，在</item>
      </candidateList>
      <explain/>
      <paraID>15E88798</paraID>
      <start>88</start>
      <end>89</end>
      <status>ignored</status>
      <modifiedWord/>
      <trackRevisions>false</trackRevisions>
    </reviewItem>
    <reviewItem>
      <errorID>cce45863-2e3a-460e-834b-96df1b25cf77</errorID>
      <errorWord>》</errorWord>
      <group>L1_Word</group>
      <groupName>字词问题</groupName>
      <ability>L2_Typo</ability>
      <abilityName>字词错误</abilityName>
      <candidateList>
        <item>》等</item>
      </candidateList>
      <explain/>
      <paraID>6A73678E</paraID>
      <start>170</start>
      <end>172</end>
      <status>modified</status>
      <modifiedWord>》等</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40e87-5cd9-4986-9450-87ecd2106460}">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17</Pages>
  <Words>6979</Words>
  <Characters>7264</Characters>
  <Lines>657</Lines>
  <Paragraphs>389</Paragraphs>
  <TotalTime>532</TotalTime>
  <ScaleCrop>false</ScaleCrop>
  <LinksUpToDate>false</LinksUpToDate>
  <CharactersWithSpaces>7285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民革巴中支部</cp:lastModifiedBy>
  <cp:lastPrinted>2026-08-03T09:27:00Z</cp:lastPrinted>
  <dcterms:modified xsi:type="dcterms:W3CDTF">2026-09-17T07:25:56Z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eyJoZGlkIjoiY2QyNzVhNzE0ODFmNGJkMWQ4YmYwYjkwY2Y4YWQ4NDkiLCJ1c2VySWQiOiI0NTMyNzA3MTEifQ==</vt:lpwstr>
  </property>
</Properties>
</file>