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rPr>
          <w:rFonts w:hint="eastAsia" w:ascii="黑体" w:hAnsi="黑体" w:eastAsia="黑体" w:cs="黑体"/>
          <w:color w:val="auto"/>
          <w:kern w:val="2"/>
          <w:sz w:val="32"/>
          <w:szCs w:val="32"/>
          <w:highlight w:val="none"/>
          <w:lang w:val="en-US" w:eastAsia="zh-CN" w:bidi="ar-SA"/>
        </w:rPr>
      </w:pPr>
      <w:bookmarkStart w:id="0" w:name="_Toc15377425"/>
      <w:bookmarkStart w:id="1" w:name="_Toc15378441"/>
      <w:bookmarkStart w:id="2" w:name="_Toc15377193"/>
      <w:bookmarkStart w:id="3" w:name="_Toc15396597"/>
      <w:bookmarkStart w:id="4" w:name="_Toc15396475"/>
      <w:bookmarkStart w:id="5" w:name="_Toc15306267"/>
      <w:r>
        <w:rPr>
          <w:rFonts w:hint="eastAsia" w:ascii="黑体" w:hAnsi="黑体" w:eastAsia="黑体" w:cs="黑体"/>
          <w:color w:val="auto"/>
          <w:kern w:val="2"/>
          <w:sz w:val="32"/>
          <w:szCs w:val="32"/>
          <w:highlight w:val="none"/>
          <w:lang w:val="en-US" w:eastAsia="zh-CN" w:bidi="ar-SA"/>
        </w:rPr>
        <w:t>附件3</w:t>
      </w:r>
    </w:p>
    <w:p>
      <w:pPr>
        <w:pStyle w:val="5"/>
        <w:rPr>
          <w:rFonts w:hint="eastAsia" w:ascii="Times New Roman" w:hAnsi="Times New Roman" w:eastAsia="方正小标宋简体" w:cs="Times New Roman"/>
          <w:color w:val="auto"/>
          <w:kern w:val="2"/>
          <w:sz w:val="72"/>
          <w:szCs w:val="72"/>
          <w:highlight w:val="none"/>
          <w:lang w:val="en-US" w:eastAsia="zh-CN" w:bidi="ar-SA"/>
        </w:rPr>
      </w:pPr>
    </w:p>
    <w:p>
      <w:pPr>
        <w:pStyle w:val="5"/>
        <w:rPr>
          <w:rFonts w:hint="eastAsia" w:ascii="Times New Roman" w:hAnsi="Times New Roman" w:eastAsia="方正小标宋简体" w:cs="Times New Roman"/>
          <w:color w:val="auto"/>
          <w:kern w:val="2"/>
          <w:sz w:val="72"/>
          <w:szCs w:val="72"/>
          <w:highlight w:val="none"/>
          <w:lang w:val="en-US" w:eastAsia="zh-CN" w:bidi="ar-SA"/>
        </w:rPr>
      </w:pPr>
    </w:p>
    <w:p>
      <w:pPr>
        <w:pStyle w:val="5"/>
        <w:rPr>
          <w:rFonts w:hint="eastAsia" w:ascii="Times New Roman" w:hAnsi="Times New Roman" w:eastAsia="方正小标宋简体" w:cs="Times New Roman"/>
          <w:color w:val="auto"/>
          <w:kern w:val="2"/>
          <w:sz w:val="72"/>
          <w:szCs w:val="72"/>
          <w:highlight w:val="none"/>
          <w:lang w:val="en-US" w:eastAsia="zh-CN" w:bidi="ar-SA"/>
        </w:rPr>
      </w:pPr>
    </w:p>
    <w:p>
      <w:pPr>
        <w:pStyle w:val="5"/>
        <w:rPr>
          <w:rFonts w:hint="eastAsia" w:ascii="Times New Roman" w:hAnsi="Times New Roman" w:eastAsia="方正小标宋简体" w:cs="Times New Roman"/>
          <w:color w:val="auto"/>
          <w:kern w:val="2"/>
          <w:sz w:val="72"/>
          <w:szCs w:val="72"/>
          <w:highlight w:val="none"/>
          <w:lang w:val="en-US" w:eastAsia="zh-CN" w:bidi="ar-SA"/>
        </w:rPr>
      </w:pPr>
    </w:p>
    <w:p>
      <w:pPr>
        <w:pStyle w:val="5"/>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color w:val="auto"/>
          <w:kern w:val="2"/>
          <w:sz w:val="44"/>
          <w:szCs w:val="44"/>
          <w:highlight w:val="none"/>
          <w:lang w:val="en-US" w:eastAsia="zh-CN" w:bidi="ar-SA"/>
        </w:rPr>
        <w:t>2025</w:t>
      </w:r>
      <w:r>
        <w:rPr>
          <w:rFonts w:hint="eastAsia" w:ascii="方正小标宋简体" w:hAnsi="方正小标宋简体" w:eastAsia="方正小标宋简体" w:cs="方正小标宋简体"/>
          <w:sz w:val="44"/>
          <w:szCs w:val="44"/>
        </w:rPr>
        <w:t>年度</w:t>
      </w:r>
    </w:p>
    <w:p>
      <w:pPr>
        <w:pStyle w:val="5"/>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中国农工民主党巴中市委员会决算</w:t>
      </w:r>
    </w:p>
    <w:p>
      <w:pPr>
        <w:pStyle w:val="5"/>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(部门公开)</w:t>
      </w:r>
    </w:p>
    <w:p>
      <w:pPr>
        <w:rPr>
          <w:rFonts w:ascii="Times New Roman" w:hAnsi="Times New Roman"/>
        </w:rPr>
      </w:pPr>
    </w:p>
    <w:p>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16</w:t>
      </w:r>
      <w:bookmarkStart w:id="89" w:name="_GoBack"/>
      <w:bookmarkEnd w:id="89"/>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distribute"/>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第一部分 部门概况</w:t>
      </w:r>
      <w:r>
        <w:rPr>
          <w:rFonts w:hint="eastAsia" w:ascii="Times New Roman" w:hAnsi="Times New Roman" w:eastAsia="黑体" w:cs="黑体"/>
          <w:color w:val="auto"/>
          <w:sz w:val="32"/>
          <w:szCs w:val="32"/>
          <w:highlight w:val="none"/>
          <w:lang w:eastAsia="zh-CN"/>
        </w:rPr>
        <w:t>…………………………………………</w:t>
      </w:r>
      <w:r>
        <w:rPr>
          <w:rFonts w:hint="eastAsia" w:ascii="Times New Roman" w:hAnsi="Times New Roman" w:eastAsia="黑体" w:cs="黑体"/>
          <w:color w:val="auto"/>
          <w:sz w:val="32"/>
          <w:szCs w:val="32"/>
          <w:highlight w:val="none"/>
          <w:lang w:val="en-US" w:eastAsia="zh-CN"/>
        </w:rPr>
        <w:t>1</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ascii="Times New Roman" w:hAnsi="Times New Roman" w:eastAsia="黑体" w:cs="黑体"/>
          <w:color w:val="auto"/>
          <w:sz w:val="32"/>
          <w:szCs w:val="32"/>
          <w:highlight w:val="none"/>
          <w:lang w:eastAsia="zh-CN"/>
        </w:rPr>
        <w:t>……………………………………………</w:t>
      </w:r>
      <w:r>
        <w:rPr>
          <w:rFonts w:hint="eastAsia" w:eastAsia="黑体" w:cs="黑体"/>
          <w:color w:val="auto"/>
          <w:sz w:val="32"/>
          <w:szCs w:val="32"/>
          <w:highlight w:val="none"/>
          <w:lang w:val="en-US" w:eastAsia="zh-CN"/>
        </w:rPr>
        <w:t>1</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二、机构设置</w:t>
      </w:r>
      <w:r>
        <w:rPr>
          <w:rFonts w:hint="eastAsia" w:ascii="Times New Roman" w:hAnsi="Times New Roman" w:eastAsia="黑体" w:cs="黑体"/>
          <w:color w:val="auto"/>
          <w:sz w:val="32"/>
          <w:szCs w:val="32"/>
          <w:highlight w:val="none"/>
          <w:lang w:eastAsia="zh-CN"/>
        </w:rPr>
        <w:t>……………………………………………</w:t>
      </w:r>
      <w:r>
        <w:rPr>
          <w:rFonts w:hint="eastAsia" w:eastAsia="黑体" w:cs="黑体"/>
          <w:color w:val="auto"/>
          <w:sz w:val="32"/>
          <w:szCs w:val="32"/>
          <w:highlight w:val="none"/>
          <w:lang w:val="en-US" w:eastAsia="zh-CN"/>
        </w:rPr>
        <w:t>1</w:t>
      </w:r>
    </w:p>
    <w:p>
      <w:pPr>
        <w:pStyle w:val="13"/>
        <w:keepNext w:val="0"/>
        <w:keepLines w:val="0"/>
        <w:pageBreakBefore w:val="0"/>
        <w:kinsoku/>
        <w:wordWrap/>
        <w:overflowPunct/>
        <w:topLinePunct w:val="0"/>
        <w:autoSpaceDE/>
        <w:autoSpaceDN/>
        <w:bidi w:val="0"/>
        <w:adjustRightInd w:val="0"/>
        <w:snapToGrid w:val="0"/>
        <w:spacing w:before="0" w:line="560" w:lineRule="exact"/>
        <w:jc w:val="distribute"/>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Times New Roman" w:hAnsi="Times New Roman" w:eastAsia="黑体" w:cs="黑体"/>
          <w:color w:val="auto"/>
          <w:sz w:val="32"/>
          <w:szCs w:val="32"/>
          <w:highlight w:val="none"/>
          <w:lang w:eastAsia="zh-CN"/>
        </w:rPr>
        <w:t>……………………</w:t>
      </w:r>
      <w:r>
        <w:rPr>
          <w:rFonts w:hint="eastAsia" w:ascii="Times New Roman" w:hAnsi="Times New Roman" w:eastAsia="黑体" w:cs="黑体"/>
          <w:color w:val="auto"/>
          <w:sz w:val="32"/>
          <w:szCs w:val="32"/>
          <w:highlight w:val="none"/>
          <w:lang w:val="en-US" w:eastAsia="zh-CN"/>
        </w:rPr>
        <w:t>2</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一、收入支出决算总体情况说明</w:t>
      </w:r>
      <w:r>
        <w:rPr>
          <w:rFonts w:hint="eastAsia" w:ascii="Times New Roman" w:hAnsi="Times New Roman" w:eastAsia="黑体" w:cs="黑体"/>
          <w:color w:val="auto"/>
          <w:sz w:val="32"/>
          <w:szCs w:val="32"/>
          <w:highlight w:val="none"/>
          <w:lang w:eastAsia="zh-CN"/>
        </w:rPr>
        <w:t>………………………</w:t>
      </w:r>
      <w:r>
        <w:rPr>
          <w:rFonts w:hint="eastAsia" w:eastAsia="黑体" w:cs="黑体"/>
          <w:color w:val="auto"/>
          <w:sz w:val="32"/>
          <w:szCs w:val="32"/>
          <w:highlight w:val="none"/>
          <w:lang w:val="en-US" w:eastAsia="zh-CN"/>
        </w:rPr>
        <w:t>2</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二、收入决算情况说明</w:t>
      </w:r>
      <w:r>
        <w:rPr>
          <w:rFonts w:hint="eastAsia" w:ascii="Times New Roman" w:hAnsi="Times New Roman" w:eastAsia="黑体" w:cs="黑体"/>
          <w:color w:val="auto"/>
          <w:sz w:val="32"/>
          <w:szCs w:val="32"/>
          <w:highlight w:val="none"/>
          <w:lang w:eastAsia="zh-CN"/>
        </w:rPr>
        <w:t>…………………………………</w:t>
      </w:r>
      <w:r>
        <w:rPr>
          <w:rFonts w:hint="eastAsia" w:eastAsia="黑体" w:cs="黑体"/>
          <w:color w:val="auto"/>
          <w:sz w:val="32"/>
          <w:szCs w:val="32"/>
          <w:highlight w:val="none"/>
          <w:lang w:val="en-US" w:eastAsia="zh-CN"/>
        </w:rPr>
        <w:t>2</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三、支出决算情况说明</w:t>
      </w:r>
      <w:r>
        <w:rPr>
          <w:rFonts w:hint="eastAsia" w:ascii="Times New Roman" w:hAnsi="Times New Roman" w:eastAsia="黑体" w:cs="黑体"/>
          <w:color w:val="auto"/>
          <w:sz w:val="32"/>
          <w:szCs w:val="32"/>
          <w:highlight w:val="none"/>
          <w:lang w:eastAsia="zh-CN"/>
        </w:rPr>
        <w:t>…………………………………</w:t>
      </w:r>
      <w:r>
        <w:rPr>
          <w:rFonts w:hint="eastAsia" w:eastAsia="黑体" w:cs="黑体"/>
          <w:color w:val="auto"/>
          <w:sz w:val="32"/>
          <w:szCs w:val="32"/>
          <w:highlight w:val="none"/>
          <w:lang w:val="en-US" w:eastAsia="zh-CN"/>
        </w:rPr>
        <w:t>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ascii="Times New Roman" w:hAnsi="Times New Roman" w:eastAsia="黑体" w:cs="黑体"/>
          <w:color w:val="auto"/>
          <w:sz w:val="32"/>
          <w:szCs w:val="32"/>
          <w:highlight w:val="none"/>
          <w:lang w:eastAsia="zh-CN"/>
        </w:rPr>
        <w:t>……………</w:t>
      </w:r>
      <w:r>
        <w:rPr>
          <w:rFonts w:hint="eastAsia" w:eastAsia="黑体" w:cs="黑体"/>
          <w:color w:val="auto"/>
          <w:sz w:val="32"/>
          <w:szCs w:val="32"/>
          <w:highlight w:val="none"/>
          <w:lang w:val="en-US" w:eastAsia="zh-CN"/>
        </w:rPr>
        <w:t>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ascii="Times New Roman" w:hAnsi="Times New Roman" w:eastAsia="黑体" w:cs="黑体"/>
          <w:color w:val="auto"/>
          <w:sz w:val="32"/>
          <w:szCs w:val="32"/>
          <w:highlight w:val="none"/>
          <w:lang w:eastAsia="zh-CN"/>
        </w:rPr>
        <w:t>………</w:t>
      </w:r>
      <w:r>
        <w:rPr>
          <w:rFonts w:hint="eastAsia" w:eastAsia="黑体" w:cs="黑体"/>
          <w:color w:val="auto"/>
          <w:sz w:val="32"/>
          <w:szCs w:val="32"/>
          <w:highlight w:val="none"/>
          <w:lang w:val="en-US" w:eastAsia="zh-CN"/>
        </w:rPr>
        <w:t>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ascii="Times New Roman" w:hAnsi="Times New Roman" w:eastAsia="黑体" w:cs="黑体"/>
          <w:color w:val="auto"/>
          <w:sz w:val="32"/>
          <w:szCs w:val="32"/>
          <w:highlight w:val="none"/>
          <w:lang w:eastAsia="zh-CN"/>
        </w:rPr>
        <w:t>…</w:t>
      </w:r>
      <w:r>
        <w:rPr>
          <w:rFonts w:hint="eastAsia" w:eastAsia="黑体" w:cs="黑体"/>
          <w:color w:val="auto"/>
          <w:sz w:val="32"/>
          <w:szCs w:val="32"/>
          <w:highlight w:val="none"/>
          <w:lang w:val="en-US" w:eastAsia="zh-CN"/>
        </w:rPr>
        <w:t>5</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ascii="Times New Roman" w:hAnsi="Times New Roman" w:eastAsia="黑体" w:cs="黑体"/>
          <w:color w:val="auto"/>
          <w:sz w:val="32"/>
          <w:szCs w:val="32"/>
          <w:highlight w:val="none"/>
          <w:lang w:eastAsia="zh-CN"/>
        </w:rPr>
        <w:t>………</w:t>
      </w:r>
      <w:r>
        <w:rPr>
          <w:rFonts w:hint="eastAsia" w:eastAsia="黑体" w:cs="黑体"/>
          <w:color w:val="auto"/>
          <w:sz w:val="32"/>
          <w:szCs w:val="32"/>
          <w:highlight w:val="none"/>
          <w:lang w:val="en-US" w:eastAsia="zh-CN"/>
        </w:rPr>
        <w:t>6</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八、政府性基金预算支出决算情况说明</w:t>
      </w:r>
      <w:r>
        <w:rPr>
          <w:rFonts w:hint="eastAsia" w:ascii="Times New Roman" w:hAnsi="Times New Roman" w:eastAsia="黑体" w:cs="黑体"/>
          <w:color w:val="auto"/>
          <w:sz w:val="32"/>
          <w:szCs w:val="32"/>
          <w:highlight w:val="none"/>
          <w:lang w:eastAsia="zh-CN"/>
        </w:rPr>
        <w:t>………………</w:t>
      </w:r>
      <w:r>
        <w:rPr>
          <w:rFonts w:hint="eastAsia" w:eastAsia="黑体" w:cs="黑体"/>
          <w:color w:val="auto"/>
          <w:sz w:val="32"/>
          <w:szCs w:val="32"/>
          <w:highlight w:val="none"/>
          <w:lang w:val="en-US" w:eastAsia="zh-CN"/>
        </w:rPr>
        <w:t>7</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ascii="Times New Roman" w:hAnsi="Times New Roman" w:eastAsia="黑体" w:cs="黑体"/>
          <w:color w:val="auto"/>
          <w:sz w:val="32"/>
          <w:szCs w:val="32"/>
          <w:highlight w:val="none"/>
          <w:lang w:eastAsia="zh-CN"/>
        </w:rPr>
        <w:t>……………</w:t>
      </w:r>
      <w:r>
        <w:rPr>
          <w:rFonts w:hint="eastAsia" w:eastAsia="黑体" w:cs="黑体"/>
          <w:color w:val="auto"/>
          <w:sz w:val="32"/>
          <w:szCs w:val="32"/>
          <w:highlight w:val="none"/>
          <w:lang w:val="en-US" w:eastAsia="zh-CN"/>
        </w:rPr>
        <w:t>7</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ascii="Times New Roman" w:hAnsi="Times New Roman" w:eastAsia="黑体" w:cs="黑体"/>
          <w:color w:val="auto"/>
          <w:sz w:val="32"/>
          <w:szCs w:val="32"/>
          <w:highlight w:val="none"/>
          <w:lang w:eastAsia="zh-CN"/>
        </w:rPr>
        <w:t>…………………………</w:t>
      </w:r>
      <w:r>
        <w:rPr>
          <w:rFonts w:hint="eastAsia" w:eastAsia="黑体" w:cs="黑体"/>
          <w:color w:val="auto"/>
          <w:sz w:val="32"/>
          <w:szCs w:val="32"/>
          <w:highlight w:val="none"/>
          <w:lang w:val="en-US" w:eastAsia="zh-CN"/>
        </w:rPr>
        <w:t>7</w:t>
      </w:r>
    </w:p>
    <w:p>
      <w:pPr>
        <w:pStyle w:val="13"/>
        <w:keepNext w:val="0"/>
        <w:keepLines w:val="0"/>
        <w:pageBreakBefore w:val="0"/>
        <w:kinsoku/>
        <w:wordWrap/>
        <w:overflowPunct/>
        <w:topLinePunct w:val="0"/>
        <w:autoSpaceDE/>
        <w:autoSpaceDN/>
        <w:bidi w:val="0"/>
        <w:adjustRightInd w:val="0"/>
        <w:snapToGrid w:val="0"/>
        <w:spacing w:before="0" w:line="560" w:lineRule="exact"/>
        <w:jc w:val="distribute"/>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lang w:eastAsia="zh-CN"/>
        </w:rPr>
        <w:t>…………………………………………</w:t>
      </w:r>
      <w:r>
        <w:rPr>
          <w:rFonts w:hint="eastAsia" w:ascii="Times New Roman" w:hAnsi="Times New Roman" w:eastAsia="黑体" w:cs="黑体"/>
          <w:color w:val="auto"/>
          <w:sz w:val="32"/>
          <w:szCs w:val="32"/>
          <w:highlight w:val="none"/>
          <w:lang w:val="en-US" w:eastAsia="zh-CN"/>
        </w:rPr>
        <w:t>10</w:t>
      </w:r>
    </w:p>
    <w:p>
      <w:pPr>
        <w:pStyle w:val="13"/>
        <w:keepNext w:val="0"/>
        <w:keepLines w:val="0"/>
        <w:pageBreakBefore w:val="0"/>
        <w:kinsoku/>
        <w:wordWrap/>
        <w:overflowPunct/>
        <w:topLinePunct w:val="0"/>
        <w:autoSpaceDE/>
        <w:autoSpaceDN/>
        <w:bidi w:val="0"/>
        <w:adjustRightInd w:val="0"/>
        <w:snapToGrid w:val="0"/>
        <w:spacing w:before="0" w:line="560" w:lineRule="exact"/>
        <w:jc w:val="distribute"/>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lang w:eastAsia="zh-CN"/>
        </w:rPr>
        <w:t>………………………………………………</w:t>
      </w:r>
      <w:r>
        <w:rPr>
          <w:rFonts w:hint="eastAsia" w:ascii="Times New Roman" w:hAnsi="Times New Roman" w:eastAsia="黑体" w:cs="黑体"/>
          <w:color w:val="auto"/>
          <w:sz w:val="32"/>
          <w:szCs w:val="32"/>
          <w:highlight w:val="none"/>
          <w:lang w:val="en-US" w:eastAsia="zh-CN"/>
        </w:rPr>
        <w:t>13</w:t>
      </w:r>
    </w:p>
    <w:p>
      <w:pPr>
        <w:pStyle w:val="13"/>
        <w:keepNext w:val="0"/>
        <w:keepLines w:val="0"/>
        <w:pageBreakBefore w:val="0"/>
        <w:kinsoku/>
        <w:wordWrap/>
        <w:overflowPunct/>
        <w:topLinePunct w:val="0"/>
        <w:autoSpaceDE/>
        <w:autoSpaceDN/>
        <w:bidi w:val="0"/>
        <w:adjustRightInd w:val="0"/>
        <w:snapToGrid w:val="0"/>
        <w:spacing w:before="0" w:line="560" w:lineRule="exact"/>
        <w:jc w:val="distribute"/>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lang w:eastAsia="zh-CN"/>
        </w:rPr>
        <w:t>………………………………………………</w:t>
      </w:r>
      <w:r>
        <w:rPr>
          <w:rFonts w:hint="eastAsia" w:ascii="Times New Roman" w:hAnsi="Times New Roman" w:eastAsia="黑体" w:cs="黑体"/>
          <w:color w:val="auto"/>
          <w:sz w:val="32"/>
          <w:szCs w:val="32"/>
          <w:highlight w:val="none"/>
          <w:lang w:val="en-US" w:eastAsia="zh-CN"/>
        </w:rPr>
        <w:t>32</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一、收入支出决算总表</w:t>
      </w:r>
      <w:r>
        <w:rPr>
          <w:rFonts w:hint="eastAsia" w:ascii="Times New Roman" w:hAnsi="Times New Roman" w:eastAsia="黑体" w:cs="黑体"/>
          <w:color w:val="auto"/>
          <w:sz w:val="32"/>
          <w:szCs w:val="32"/>
          <w:highlight w:val="none"/>
          <w:lang w:eastAsia="zh-CN"/>
        </w:rPr>
        <w:t>…………………………………</w:t>
      </w:r>
      <w:r>
        <w:rPr>
          <w:rFonts w:hint="eastAsia" w:eastAsia="黑体" w:cs="黑体"/>
          <w:color w:val="auto"/>
          <w:sz w:val="32"/>
          <w:szCs w:val="32"/>
          <w:highlight w:val="none"/>
          <w:lang w:val="en-US" w:eastAsia="zh-CN"/>
        </w:rPr>
        <w:t>32</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二、收入决算表</w:t>
      </w:r>
      <w:r>
        <w:rPr>
          <w:rFonts w:hint="eastAsia" w:ascii="Times New Roman" w:hAnsi="Times New Roman" w:eastAsia="黑体" w:cs="黑体"/>
          <w:color w:val="auto"/>
          <w:sz w:val="32"/>
          <w:szCs w:val="32"/>
          <w:highlight w:val="none"/>
          <w:lang w:eastAsia="zh-CN"/>
        </w:rPr>
        <w:t>…………………………………………</w:t>
      </w:r>
      <w:r>
        <w:rPr>
          <w:rFonts w:hint="eastAsia" w:eastAsia="黑体" w:cs="黑体"/>
          <w:color w:val="auto"/>
          <w:sz w:val="32"/>
          <w:szCs w:val="32"/>
          <w:highlight w:val="none"/>
          <w:lang w:val="en-US" w:eastAsia="zh-CN"/>
        </w:rPr>
        <w:t>32</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三、支出决算表</w:t>
      </w:r>
      <w:r>
        <w:rPr>
          <w:rFonts w:hint="eastAsia" w:ascii="Times New Roman" w:hAnsi="Times New Roman" w:eastAsia="黑体" w:cs="黑体"/>
          <w:color w:val="auto"/>
          <w:sz w:val="32"/>
          <w:szCs w:val="32"/>
          <w:highlight w:val="none"/>
          <w:lang w:eastAsia="zh-CN"/>
        </w:rPr>
        <w:t>…………………………………………</w:t>
      </w:r>
      <w:r>
        <w:rPr>
          <w:rFonts w:hint="eastAsia" w:eastAsia="黑体" w:cs="黑体"/>
          <w:color w:val="auto"/>
          <w:sz w:val="32"/>
          <w:szCs w:val="32"/>
          <w:highlight w:val="none"/>
          <w:lang w:val="en-US" w:eastAsia="zh-CN"/>
        </w:rPr>
        <w:t>32</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四、财政拨款收入支出决算总表</w:t>
      </w:r>
      <w:r>
        <w:rPr>
          <w:rFonts w:hint="eastAsia" w:ascii="Times New Roman" w:hAnsi="Times New Roman" w:eastAsia="黑体" w:cs="黑体"/>
          <w:color w:val="auto"/>
          <w:sz w:val="32"/>
          <w:szCs w:val="32"/>
          <w:highlight w:val="none"/>
          <w:lang w:eastAsia="zh-CN"/>
        </w:rPr>
        <w:t>………………………</w:t>
      </w:r>
      <w:r>
        <w:rPr>
          <w:rFonts w:hint="eastAsia" w:eastAsia="黑体" w:cs="黑体"/>
          <w:color w:val="auto"/>
          <w:sz w:val="32"/>
          <w:szCs w:val="32"/>
          <w:highlight w:val="none"/>
          <w:lang w:val="en-US" w:eastAsia="zh-CN"/>
        </w:rPr>
        <w:t>32</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五、财政拨款支出决算明细表</w:t>
      </w:r>
      <w:r>
        <w:rPr>
          <w:rFonts w:hint="eastAsia" w:ascii="Times New Roman" w:hAnsi="Times New Roman" w:eastAsia="黑体" w:cs="黑体"/>
          <w:color w:val="auto"/>
          <w:sz w:val="32"/>
          <w:szCs w:val="32"/>
          <w:highlight w:val="none"/>
          <w:lang w:eastAsia="zh-CN"/>
        </w:rPr>
        <w:t>…………………………</w:t>
      </w:r>
      <w:r>
        <w:rPr>
          <w:rFonts w:hint="eastAsia" w:eastAsia="黑体" w:cs="黑体"/>
          <w:color w:val="auto"/>
          <w:sz w:val="32"/>
          <w:szCs w:val="32"/>
          <w:highlight w:val="none"/>
          <w:lang w:val="en-US" w:eastAsia="zh-CN"/>
        </w:rPr>
        <w:t>32</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六、一般公共预算财政拨款支出决算表</w:t>
      </w:r>
      <w:r>
        <w:rPr>
          <w:rFonts w:hint="eastAsia" w:ascii="Times New Roman" w:hAnsi="Times New Roman" w:eastAsia="黑体" w:cs="黑体"/>
          <w:color w:val="auto"/>
          <w:sz w:val="32"/>
          <w:szCs w:val="32"/>
          <w:highlight w:val="none"/>
          <w:lang w:eastAsia="zh-CN"/>
        </w:rPr>
        <w:t>………………</w:t>
      </w:r>
      <w:r>
        <w:rPr>
          <w:rFonts w:hint="eastAsia" w:eastAsia="黑体" w:cs="黑体"/>
          <w:color w:val="auto"/>
          <w:sz w:val="32"/>
          <w:szCs w:val="32"/>
          <w:highlight w:val="none"/>
          <w:lang w:val="en-US" w:eastAsia="zh-CN"/>
        </w:rPr>
        <w:t>32</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ascii="Times New Roman" w:hAnsi="Times New Roman" w:eastAsia="黑体" w:cs="黑体"/>
          <w:color w:val="auto"/>
          <w:sz w:val="32"/>
          <w:szCs w:val="32"/>
          <w:highlight w:val="none"/>
          <w:lang w:eastAsia="zh-CN"/>
        </w:rPr>
        <w:t>…………</w:t>
      </w:r>
      <w:r>
        <w:rPr>
          <w:rFonts w:hint="eastAsia" w:eastAsia="黑体" w:cs="黑体"/>
          <w:color w:val="auto"/>
          <w:sz w:val="32"/>
          <w:szCs w:val="32"/>
          <w:highlight w:val="none"/>
          <w:lang w:val="en-US" w:eastAsia="zh-CN"/>
        </w:rPr>
        <w:t>32</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ascii="Times New Roman" w:hAnsi="Times New Roman" w:eastAsia="黑体" w:cs="黑体"/>
          <w:color w:val="auto"/>
          <w:sz w:val="32"/>
          <w:szCs w:val="32"/>
          <w:highlight w:val="none"/>
          <w:lang w:eastAsia="zh-CN"/>
        </w:rPr>
        <w:t>……</w:t>
      </w:r>
      <w:r>
        <w:rPr>
          <w:rFonts w:hint="eastAsia" w:eastAsia="黑体" w:cs="黑体"/>
          <w:color w:val="auto"/>
          <w:sz w:val="32"/>
          <w:szCs w:val="32"/>
          <w:highlight w:val="none"/>
          <w:lang w:val="en-US" w:eastAsia="zh-CN"/>
        </w:rPr>
        <w:t>32</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ascii="Times New Roman" w:hAnsi="Times New Roman" w:eastAsia="黑体" w:cs="黑体"/>
          <w:color w:val="auto"/>
          <w:sz w:val="32"/>
          <w:szCs w:val="32"/>
          <w:highlight w:val="none"/>
          <w:lang w:eastAsia="zh-CN"/>
        </w:rPr>
        <w:t>…………</w:t>
      </w:r>
      <w:r>
        <w:rPr>
          <w:rFonts w:hint="eastAsia" w:eastAsia="黑体" w:cs="黑体"/>
          <w:color w:val="auto"/>
          <w:sz w:val="32"/>
          <w:szCs w:val="32"/>
          <w:highlight w:val="none"/>
          <w:lang w:val="en-US" w:eastAsia="zh-CN"/>
        </w:rPr>
        <w:t>32</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ascii="Times New Roman" w:hAnsi="Times New Roman" w:eastAsia="黑体" w:cs="黑体"/>
          <w:color w:val="auto"/>
          <w:sz w:val="32"/>
          <w:szCs w:val="32"/>
          <w:highlight w:val="none"/>
          <w:lang w:eastAsia="zh-CN"/>
        </w:rPr>
        <w:t>………</w:t>
      </w:r>
      <w:r>
        <w:rPr>
          <w:rFonts w:hint="eastAsia" w:eastAsia="黑体" w:cs="黑体"/>
          <w:color w:val="auto"/>
          <w:sz w:val="32"/>
          <w:szCs w:val="32"/>
          <w:highlight w:val="none"/>
          <w:lang w:val="en-US" w:eastAsia="zh-CN"/>
        </w:rPr>
        <w:t>32</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ascii="Times New Roman" w:hAnsi="Times New Roman" w:eastAsia="黑体" w:cs="黑体"/>
          <w:color w:val="auto"/>
          <w:sz w:val="32"/>
          <w:szCs w:val="32"/>
          <w:highlight w:val="none"/>
          <w:lang w:eastAsia="zh-CN"/>
        </w:rPr>
        <w:t>…</w:t>
      </w:r>
      <w:r>
        <w:rPr>
          <w:rFonts w:hint="eastAsia" w:eastAsia="黑体" w:cs="黑体"/>
          <w:color w:val="auto"/>
          <w:sz w:val="32"/>
          <w:szCs w:val="32"/>
          <w:highlight w:val="none"/>
          <w:lang w:val="en-US" w:eastAsia="zh-CN"/>
        </w:rPr>
        <w:t>32</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ascii="Times New Roman" w:hAnsi="Times New Roman" w:eastAsia="黑体" w:cs="黑体"/>
          <w:color w:val="auto"/>
          <w:sz w:val="32"/>
          <w:szCs w:val="32"/>
          <w:highlight w:val="none"/>
          <w:lang w:eastAsia="zh-CN"/>
        </w:rPr>
        <w:t>………</w:t>
      </w:r>
      <w:r>
        <w:rPr>
          <w:rFonts w:hint="eastAsia" w:eastAsia="黑体" w:cs="黑体"/>
          <w:color w:val="auto"/>
          <w:sz w:val="32"/>
          <w:szCs w:val="32"/>
          <w:highlight w:val="none"/>
          <w:lang w:val="en-US" w:eastAsia="zh-CN"/>
        </w:rPr>
        <w:t>32</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distribute"/>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十三、财政拨款“三公”经费支出决算表</w:t>
      </w:r>
      <w:r>
        <w:rPr>
          <w:rFonts w:hint="eastAsia" w:ascii="Times New Roman" w:hAnsi="Times New Roman" w:eastAsia="黑体" w:cs="黑体"/>
          <w:color w:val="auto"/>
          <w:sz w:val="32"/>
          <w:szCs w:val="32"/>
          <w:highlight w:val="none"/>
          <w:lang w:eastAsia="zh-CN"/>
        </w:rPr>
        <w:t>……………</w:t>
      </w:r>
      <w:r>
        <w:rPr>
          <w:rFonts w:hint="eastAsia" w:eastAsia="黑体" w:cs="黑体"/>
          <w:color w:val="auto"/>
          <w:sz w:val="32"/>
          <w:szCs w:val="32"/>
          <w:highlight w:val="none"/>
          <w:lang w:val="en-US" w:eastAsia="zh-CN"/>
        </w:rPr>
        <w:t>32</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pPr>
        <w:pStyle w:val="2"/>
        <w:jc w:val="center"/>
        <w:rPr>
          <w:rFonts w:hint="eastAsia" w:ascii="Times New Roman" w:hAnsi="Times New Roman" w:eastAsia="方正小标宋简体" w:cs="方正小标宋简体"/>
          <w:b w:val="0"/>
          <w:color w:val="auto"/>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bookmarkStart w:id="6" w:name="_Toc15396599"/>
      <w:bookmarkStart w:id="7" w:name="_Toc15377196"/>
    </w:p>
    <w:p>
      <w:pPr>
        <w:pStyle w:val="2"/>
        <w:jc w:val="center"/>
        <w:rPr>
          <w:rStyle w:val="30"/>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6"/>
      <w:bookmarkEnd w:id="7"/>
    </w:p>
    <w:p>
      <w:pPr>
        <w:widowControl/>
        <w:jc w:val="left"/>
        <w:rPr>
          <w:rFonts w:ascii="Times New Roman" w:hAnsi="Times New Roman" w:eastAsia="黑体"/>
          <w:color w:val="auto"/>
          <w:sz w:val="32"/>
          <w:szCs w:val="32"/>
          <w:highlight w:val="none"/>
        </w:rPr>
      </w:pPr>
    </w:p>
    <w:p>
      <w:pPr>
        <w:pStyle w:val="3"/>
        <w:pageBreakBefore w:val="0"/>
        <w:widowControl w:val="0"/>
        <w:numPr>
          <w:ilvl w:val="0"/>
          <w:numId w:val="0"/>
        </w:numPr>
        <w:kinsoku/>
        <w:wordWrap/>
        <w:overflowPunct/>
        <w:topLinePunct w:val="0"/>
        <w:autoSpaceDE/>
        <w:autoSpaceDN/>
        <w:bidi w:val="0"/>
        <w:adjustRightInd/>
        <w:snapToGrid/>
        <w:spacing w:before="0" w:after="0" w:line="560" w:lineRule="exact"/>
        <w:ind w:firstLine="640" w:firstLineChars="200"/>
        <w:jc w:val="both"/>
        <w:textAlignment w:val="auto"/>
        <w:rPr>
          <w:rFonts w:hint="eastAsia" w:ascii="Times New Roman" w:hAnsi="Times New Roman" w:eastAsia="黑体"/>
          <w:b w:val="0"/>
          <w:bCs/>
          <w:i w:val="0"/>
          <w:iCs w:val="0"/>
          <w:color w:val="auto"/>
          <w:highlight w:val="none"/>
          <w:lang w:eastAsia="zh-CN"/>
        </w:rPr>
      </w:pPr>
      <w:r>
        <w:rPr>
          <w:rFonts w:hint="eastAsia" w:ascii="Times New Roman" w:hAnsi="Times New Roman" w:eastAsia="黑体" w:cstheme="majorBidi"/>
          <w:b w:val="0"/>
          <w:bCs/>
          <w:i w:val="0"/>
          <w:iCs w:val="0"/>
          <w:color w:val="auto"/>
          <w:kern w:val="2"/>
          <w:sz w:val="32"/>
          <w:szCs w:val="32"/>
          <w:lang w:val="en-US" w:eastAsia="zh-CN" w:bidi="ar-SA"/>
        </w:rPr>
        <w:t>一、</w:t>
      </w:r>
      <w:r>
        <w:rPr>
          <w:rFonts w:hint="eastAsia" w:ascii="Times New Roman" w:hAnsi="Times New Roman" w:eastAsia="黑体"/>
          <w:b w:val="0"/>
          <w:bCs/>
          <w:i w:val="0"/>
          <w:iCs w:val="0"/>
          <w:color w:val="auto"/>
          <w:highlight w:val="none"/>
          <w:lang w:eastAsia="zh-CN"/>
        </w:rPr>
        <w:t>部门职责</w:t>
      </w:r>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eastAsia="仿宋"/>
          <w:b w:val="0"/>
          <w:bCs/>
          <w:i w:val="0"/>
          <w:iCs w:val="0"/>
          <w:sz w:val="32"/>
          <w:szCs w:val="32"/>
        </w:rPr>
      </w:pPr>
      <w:r>
        <w:rPr>
          <w:rFonts w:ascii="Times New Roman" w:hAnsi="Times New Roman" w:eastAsia="仿宋"/>
          <w:b w:val="0"/>
          <w:bCs/>
          <w:i w:val="0"/>
          <w:iCs w:val="0"/>
          <w:sz w:val="32"/>
          <w:szCs w:val="32"/>
        </w:rPr>
        <w:t>中国农工民主党是以医药卫生、人口资源和生态环境领域高中级知识分子为主，由一部分社会主义劳动者、社会主义事业建设者和拥护社会主义的爱国者组成的政治联盟，是接受中国共产党领导、同中国共产党通力合作的亲密友党，是致力于中国特色社会主义事业的参政党。</w:t>
      </w:r>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eastAsia="仿宋"/>
          <w:b w:val="0"/>
          <w:bCs/>
          <w:i w:val="0"/>
          <w:iCs w:val="0"/>
          <w:sz w:val="32"/>
          <w:szCs w:val="32"/>
        </w:rPr>
      </w:pPr>
      <w:r>
        <w:rPr>
          <w:rFonts w:ascii="Times New Roman" w:hAnsi="Times New Roman" w:eastAsia="仿宋"/>
          <w:b w:val="0"/>
          <w:bCs/>
          <w:i w:val="0"/>
          <w:iCs w:val="0"/>
          <w:sz w:val="32"/>
          <w:szCs w:val="32"/>
        </w:rPr>
        <w:t>中国农工民主党在国家政治生活中履行参政党职能，参加国家政权，参与国家大政方针和国家领导人选的协商，参与国家事务的管理，参与国家方针、政策、法律、法规的制定和执行，发挥参政议政、民主监督的作用。</w:t>
      </w:r>
    </w:p>
    <w:p>
      <w:pPr>
        <w:pStyle w:val="29"/>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31"/>
          <w:rFonts w:ascii="Times New Roman" w:hAnsi="Times New Roman" w:eastAsia="黑体"/>
          <w:b w:val="0"/>
          <w:bCs/>
          <w:i w:val="0"/>
          <w:iCs w:val="0"/>
        </w:rPr>
      </w:pPr>
      <w:bookmarkStart w:id="8" w:name="_Toc27196"/>
      <w:r>
        <w:rPr>
          <w:rStyle w:val="31"/>
          <w:rFonts w:ascii="Times New Roman" w:hAnsi="Times New Roman" w:eastAsia="黑体"/>
          <w:b w:val="0"/>
          <w:bCs/>
          <w:i w:val="0"/>
          <w:iCs w:val="0"/>
        </w:rPr>
        <w:t>二、机构设置</w:t>
      </w:r>
      <w:bookmarkEnd w:id="8"/>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eastAsia="仿宋"/>
          <w:b w:val="0"/>
          <w:bCs/>
          <w:i w:val="0"/>
          <w:iCs w:val="0"/>
          <w:sz w:val="32"/>
          <w:szCs w:val="32"/>
        </w:rPr>
      </w:pPr>
      <w:r>
        <w:rPr>
          <w:rFonts w:ascii="Times New Roman" w:hAnsi="Times New Roman" w:eastAsia="仿宋"/>
          <w:b w:val="0"/>
          <w:bCs/>
          <w:i w:val="0"/>
          <w:iCs w:val="0"/>
          <w:sz w:val="32"/>
          <w:szCs w:val="32"/>
        </w:rPr>
        <w:t>农工党巴中市委机关行政编制3名，工勤编制2名。其中，设主任委员1名（兼），副主任委员3名（2名兼职，副县级，秘书长1名）。 科级领导职数2名。</w:t>
      </w:r>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eastAsia="仿宋"/>
          <w:b w:val="0"/>
          <w:bCs/>
          <w:i w:val="0"/>
          <w:iCs w:val="0"/>
          <w:sz w:val="32"/>
          <w:szCs w:val="32"/>
        </w:rPr>
      </w:pPr>
      <w:r>
        <w:rPr>
          <w:rFonts w:ascii="Times New Roman" w:hAnsi="Times New Roman" w:eastAsia="仿宋"/>
          <w:b w:val="0"/>
          <w:bCs/>
          <w:i w:val="0"/>
          <w:iCs w:val="0"/>
          <w:sz w:val="32"/>
          <w:szCs w:val="32"/>
        </w:rPr>
        <w:t>农工党巴中市委无下属二级预算单位，其中行政单位1个。</w:t>
      </w:r>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eastAsia="仿宋"/>
          <w:b w:val="0"/>
          <w:bCs/>
          <w:i w:val="0"/>
          <w:iCs w:val="0"/>
          <w:sz w:val="32"/>
          <w:szCs w:val="32"/>
        </w:rPr>
      </w:pPr>
      <w:r>
        <w:rPr>
          <w:rFonts w:ascii="Times New Roman" w:hAnsi="Times New Roman" w:eastAsia="仿宋"/>
          <w:b w:val="0"/>
          <w:bCs/>
          <w:i w:val="0"/>
          <w:iCs w:val="0"/>
          <w:sz w:val="32"/>
          <w:szCs w:val="32"/>
        </w:rPr>
        <w:t>纳入202</w:t>
      </w:r>
      <w:r>
        <w:rPr>
          <w:rFonts w:hint="eastAsia" w:eastAsia="仿宋"/>
          <w:b w:val="0"/>
          <w:bCs/>
          <w:i w:val="0"/>
          <w:iCs w:val="0"/>
          <w:sz w:val="32"/>
          <w:szCs w:val="32"/>
          <w:lang w:val="en-US" w:eastAsia="zh-CN"/>
        </w:rPr>
        <w:t>5</w:t>
      </w:r>
      <w:r>
        <w:rPr>
          <w:rFonts w:ascii="Times New Roman" w:hAnsi="Times New Roman" w:eastAsia="仿宋"/>
          <w:b w:val="0"/>
          <w:bCs/>
          <w:i w:val="0"/>
          <w:iCs w:val="0"/>
          <w:sz w:val="32"/>
          <w:szCs w:val="32"/>
        </w:rPr>
        <w:t>年度部门决算编制范围的一级预算单位包括：中国农工民主党巴中市委员会</w:t>
      </w:r>
      <w:r>
        <w:rPr>
          <w:rFonts w:hint="eastAsia" w:ascii="Times New Roman" w:hAnsi="Times New Roman" w:eastAsia="仿宋"/>
          <w:b w:val="0"/>
          <w:bCs/>
          <w:i w:val="0"/>
          <w:iCs w:val="0"/>
          <w:sz w:val="32"/>
          <w:szCs w:val="32"/>
        </w:rPr>
        <w:t>。</w:t>
      </w:r>
    </w:p>
    <w:p>
      <w:pPr>
        <w:numPr>
          <w:ilvl w:val="0"/>
          <w:numId w:val="0"/>
        </w:numPr>
        <w:rPr>
          <w:rFonts w:hint="eastAsia"/>
          <w:lang w:val="en-US" w:eastAsia="zh-CN"/>
        </w:rPr>
      </w:pPr>
      <w:r>
        <w:rPr>
          <w:rFonts w:hint="eastAsia"/>
          <w:lang w:val="en-US" w:eastAsia="zh-CN"/>
        </w:rPr>
        <w:t xml:space="preserve">  </w:t>
      </w:r>
    </w:p>
    <w:p>
      <w:pPr>
        <w:pStyle w:val="14"/>
        <w:rPr>
          <w:rFonts w:hint="eastAsia"/>
          <w:lang w:val="en-US" w:eastAsia="zh-CN"/>
        </w:rPr>
      </w:pPr>
    </w:p>
    <w:p>
      <w:pPr>
        <w:pStyle w:val="7"/>
        <w:ind w:left="0" w:leftChars="0" w:firstLine="0" w:firstLineChars="0"/>
        <w:rPr>
          <w:rFonts w:hint="default"/>
          <w:lang w:val="en-US" w:eastAsia="zh-CN"/>
        </w:rPr>
      </w:pPr>
    </w:p>
    <w:p>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pPr>
        <w:pStyle w:val="2"/>
        <w:jc w:val="center"/>
        <w:rPr>
          <w:rFonts w:hint="eastAsia" w:ascii="Times New Roman" w:hAnsi="Times New Roman" w:eastAsia="方正小标宋简体" w:cs="方正小标宋简体"/>
          <w:b w:val="0"/>
          <w:color w:val="auto"/>
          <w:highlight w:val="none"/>
        </w:rPr>
      </w:pPr>
      <w:bookmarkStart w:id="9" w:name="_Toc15377204"/>
      <w:bookmarkStart w:id="10"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9"/>
      <w:bookmarkEnd w:id="10"/>
    </w:p>
    <w:p>
      <w:pPr>
        <w:rPr>
          <w:rFonts w:ascii="Times New Roman" w:hAnsi="Times New Roman"/>
          <w:color w:val="auto"/>
          <w:highlight w:val="none"/>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11" w:name="_Toc15396603"/>
      <w:bookmarkStart w:id="12"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11"/>
      <w:bookmarkEnd w:id="12"/>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140.72</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6.67</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新增项目经费及人员调资增长。</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pPr>
        <w:pStyle w:val="7"/>
        <w:ind w:left="0" w:leftChars="0" w:firstLine="0" w:firstLineChars="0"/>
        <w:rPr>
          <w:rFonts w:hint="eastAsia" w:ascii="Times New Roman" w:hAnsi="Times New Roman" w:eastAsia="仿宋_GB2312" w:cs="仿宋_GB2312"/>
          <w:color w:val="auto"/>
          <w:sz w:val="32"/>
          <w:szCs w:val="32"/>
          <w:highlight w:val="none"/>
        </w:rPr>
      </w:pPr>
      <w:r>
        <w:drawing>
          <wp:inline distT="0" distB="0" distL="114300" distR="114300">
            <wp:extent cx="5215890" cy="2397760"/>
            <wp:effectExtent l="4445" t="4445" r="18415" b="17145"/>
            <wp:docPr id="2" name="图表 1" descr="7b0a202020202263686172745265734964223a202232303437363935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3" w:name="_Toc15396604"/>
      <w:bookmarkStart w:id="14" w:name="_Toc15377206"/>
      <w:r>
        <w:rPr>
          <w:rFonts w:hint="eastAsia" w:ascii="Times New Roman" w:hAnsi="Times New Roman" w:eastAsia="黑体"/>
          <w:color w:val="auto"/>
          <w:sz w:val="32"/>
          <w:szCs w:val="32"/>
          <w:highlight w:val="none"/>
          <w:lang w:eastAsia="zh-CN"/>
        </w:rPr>
        <w:t>二、收入决算情况说明</w:t>
      </w:r>
      <w:bookmarkEnd w:id="13"/>
      <w:bookmarkEnd w:id="14"/>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140.72</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140.72</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pPr>
        <w:pStyle w:val="7"/>
        <w:ind w:left="0" w:leftChars="0" w:firstLine="0" w:firstLineChars="0"/>
        <w:rPr>
          <w:rFonts w:hint="eastAsia" w:ascii="Times New Roman" w:hAnsi="Times New Roman" w:eastAsia="仿宋_GB2312" w:cs="仿宋_GB2312"/>
          <w:color w:val="auto"/>
          <w:sz w:val="32"/>
          <w:szCs w:val="32"/>
          <w:highlight w:val="none"/>
          <w:lang w:eastAsia="zh-CN"/>
        </w:rPr>
      </w:pPr>
      <w:r>
        <w:drawing>
          <wp:inline distT="0" distB="0" distL="114300" distR="114300">
            <wp:extent cx="5154930" cy="1452880"/>
            <wp:effectExtent l="4445" t="4445" r="22225" b="9525"/>
            <wp:docPr id="3" name="图表 2" descr="7b0a202020202263686172745265734964223a202232303437323230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15" w:name="_Toc15377207"/>
      <w:bookmarkStart w:id="16"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15"/>
      <w:bookmarkEnd w:id="16"/>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140.72</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105.50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75</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35.22</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25</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kern w:val="2"/>
          <w:sz w:val="32"/>
          <w:szCs w:val="32"/>
          <w:highlight w:val="none"/>
          <w:lang w:val="en-US" w:eastAsia="zh-CN" w:bidi="ar-SA"/>
        </w:rPr>
        <w:t>。</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pPr>
        <w:pStyle w:val="7"/>
        <w:ind w:left="0" w:leftChars="0" w:firstLine="0" w:firstLineChars="0"/>
        <w:rPr>
          <w:rFonts w:hint="eastAsia" w:ascii="Times New Roman" w:hAnsi="Times New Roman" w:eastAsia="仿宋_GB2312" w:cs="仿宋_GB2312"/>
          <w:color w:val="auto"/>
          <w:sz w:val="32"/>
          <w:szCs w:val="32"/>
          <w:highlight w:val="none"/>
          <w:lang w:eastAsia="zh-CN"/>
        </w:rPr>
      </w:pPr>
      <w:r>
        <w:drawing>
          <wp:inline distT="0" distB="0" distL="114300" distR="114300">
            <wp:extent cx="5353685" cy="2085340"/>
            <wp:effectExtent l="4445" t="4445" r="13970" b="5715"/>
            <wp:docPr id="4" name="图表 3" descr="7b0a202020202263686172745265734964223a202232303437323230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spacing w:line="600" w:lineRule="exact"/>
        <w:ind w:firstLine="640" w:firstLineChars="200"/>
        <w:outlineLvl w:val="1"/>
        <w:rPr>
          <w:rStyle w:val="31"/>
          <w:rFonts w:ascii="Times New Roman" w:hAnsi="Times New Roman" w:eastAsia="黑体"/>
          <w:b w:val="0"/>
          <w:color w:val="auto"/>
          <w:highlight w:val="none"/>
        </w:rPr>
      </w:pPr>
      <w:bookmarkStart w:id="17" w:name="_Toc15396606"/>
      <w:bookmarkStart w:id="18" w:name="_Toc15377208"/>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17"/>
      <w:bookmarkEnd w:id="18"/>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140.72</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6.67</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sz w:val="32"/>
          <w:szCs w:val="32"/>
          <w:highlight w:val="none"/>
        </w:rPr>
        <w:t>增长</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新增项目经费及人员调资增长。</w:t>
      </w:r>
    </w:p>
    <w:p>
      <w:pPr>
        <w:spacing w:line="600" w:lineRule="exact"/>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pPr>
        <w:pStyle w:val="7"/>
        <w:ind w:left="0" w:leftChars="0" w:firstLine="0" w:firstLineChars="0"/>
        <w:rPr>
          <w:rFonts w:hint="eastAsia"/>
          <w:lang w:val="en-US" w:eastAsia="zh-CN"/>
        </w:rPr>
      </w:pPr>
      <w:r>
        <w:drawing>
          <wp:inline distT="0" distB="0" distL="114300" distR="114300">
            <wp:extent cx="5232400" cy="2051685"/>
            <wp:effectExtent l="4445" t="4445" r="20955" b="20320"/>
            <wp:docPr id="5" name="图表 4" descr="7b0a202020202263686172745265734964223a202234363130333534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spacing w:line="600" w:lineRule="exact"/>
        <w:ind w:firstLine="640" w:firstLineChars="200"/>
        <w:outlineLvl w:val="1"/>
        <w:rPr>
          <w:rStyle w:val="31"/>
          <w:rFonts w:ascii="Times New Roman" w:hAnsi="Times New Roman" w:eastAsia="黑体"/>
          <w:b w:val="0"/>
          <w:color w:val="auto"/>
          <w:highlight w:val="none"/>
        </w:rPr>
      </w:pPr>
      <w:bookmarkStart w:id="19" w:name="_Toc15396607"/>
      <w:bookmarkStart w:id="20"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19"/>
      <w:bookmarkEnd w:id="20"/>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1"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140.72</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6.67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新增项目经费及人员调资增长。</w:t>
      </w:r>
    </w:p>
    <w:p>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pPr>
        <w:pStyle w:val="7"/>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5250815" cy="1880870"/>
            <wp:effectExtent l="4445" t="4445" r="21590" b="19685"/>
            <wp:docPr id="1" name="图表 5" descr="7b0a202020202263686172745265734964223a202234363130333534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2"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2"/>
    </w:p>
    <w:p>
      <w:pPr>
        <w:spacing w:line="560" w:lineRule="exact"/>
        <w:ind w:firstLine="640" w:firstLineChars="200"/>
        <w:rPr>
          <w:rFonts w:eastAsia="仿宋"/>
          <w:sz w:val="32"/>
          <w:szCs w:val="32"/>
        </w:rPr>
      </w:pPr>
      <w:r>
        <w:rPr>
          <w:rFonts w:hint="eastAsia" w:eastAsia="仿宋_GB2312" w:cs="仿宋_GB2312"/>
          <w:color w:val="auto"/>
          <w:kern w:val="2"/>
          <w:sz w:val="32"/>
          <w:szCs w:val="32"/>
          <w:highlight w:val="none"/>
          <w:lang w:val="en-US" w:eastAsia="zh-CN" w:bidi="ar-SA"/>
        </w:rPr>
        <w:t>2025年度</w:t>
      </w:r>
      <w:r>
        <w:rPr>
          <w:rFonts w:ascii="Times New Roman" w:hAnsi="Times New Roman" w:eastAsia="仿宋"/>
          <w:sz w:val="32"/>
          <w:szCs w:val="32"/>
        </w:rPr>
        <w:t>一般公共预算财政拨款支出</w:t>
      </w:r>
      <w:r>
        <w:rPr>
          <w:rFonts w:hint="eastAsia" w:ascii="Times New Roman" w:hAnsi="Times New Roman" w:eastAsia="仿宋"/>
          <w:sz w:val="32"/>
          <w:szCs w:val="32"/>
          <w:lang w:val="en-US" w:eastAsia="zh-CN"/>
        </w:rPr>
        <w:t>140.72</w:t>
      </w:r>
      <w:r>
        <w:rPr>
          <w:rFonts w:ascii="Times New Roman" w:hAnsi="Times New Roman" w:eastAsia="仿宋"/>
          <w:sz w:val="32"/>
          <w:szCs w:val="32"/>
        </w:rPr>
        <w:t>万元，主要用于以下方面:一般公共服务支出</w:t>
      </w:r>
      <w:r>
        <w:rPr>
          <w:rFonts w:hint="eastAsia" w:ascii="Times New Roman" w:hAnsi="Times New Roman" w:eastAsia="仿宋"/>
          <w:sz w:val="32"/>
          <w:szCs w:val="32"/>
          <w:lang w:val="en-US" w:eastAsia="zh-CN"/>
        </w:rPr>
        <w:t>118.62</w:t>
      </w:r>
      <w:r>
        <w:rPr>
          <w:rFonts w:ascii="Times New Roman" w:hAnsi="Times New Roman" w:eastAsia="仿宋"/>
          <w:sz w:val="32"/>
          <w:szCs w:val="32"/>
        </w:rPr>
        <w:t>万元，占</w:t>
      </w:r>
      <w:r>
        <w:rPr>
          <w:rFonts w:hint="eastAsia" w:ascii="Times New Roman" w:hAnsi="Times New Roman" w:eastAsia="仿宋"/>
          <w:sz w:val="32"/>
          <w:szCs w:val="32"/>
        </w:rPr>
        <w:t>84</w:t>
      </w:r>
      <w:r>
        <w:rPr>
          <w:rFonts w:ascii="Times New Roman" w:hAnsi="Times New Roman" w:eastAsia="仿宋"/>
          <w:sz w:val="32"/>
          <w:szCs w:val="32"/>
        </w:rPr>
        <w:t>%；社会保障和就业支出</w:t>
      </w:r>
      <w:r>
        <w:rPr>
          <w:rFonts w:hint="eastAsia" w:ascii="Times New Roman" w:hAnsi="Times New Roman" w:eastAsia="仿宋"/>
          <w:sz w:val="32"/>
          <w:szCs w:val="32"/>
          <w:lang w:val="en-US" w:eastAsia="zh-CN"/>
        </w:rPr>
        <w:t>9.54</w:t>
      </w:r>
      <w:r>
        <w:rPr>
          <w:rFonts w:ascii="Times New Roman" w:hAnsi="Times New Roman" w:eastAsia="仿宋"/>
          <w:sz w:val="32"/>
          <w:szCs w:val="32"/>
        </w:rPr>
        <w:t>万元，占</w:t>
      </w:r>
      <w:r>
        <w:rPr>
          <w:rFonts w:hint="eastAsia" w:ascii="Times New Roman" w:hAnsi="Times New Roman" w:eastAsia="仿宋"/>
          <w:sz w:val="32"/>
          <w:szCs w:val="32"/>
        </w:rPr>
        <w:t>7</w:t>
      </w:r>
      <w:r>
        <w:rPr>
          <w:rFonts w:ascii="Times New Roman" w:hAnsi="Times New Roman" w:eastAsia="仿宋"/>
          <w:sz w:val="32"/>
          <w:szCs w:val="32"/>
        </w:rPr>
        <w:t>%；卫生健康支出</w:t>
      </w:r>
      <w:r>
        <w:rPr>
          <w:rFonts w:hint="eastAsia" w:ascii="Times New Roman" w:hAnsi="Times New Roman" w:eastAsia="仿宋"/>
          <w:sz w:val="32"/>
          <w:szCs w:val="32"/>
          <w:lang w:val="en-US" w:eastAsia="zh-CN"/>
        </w:rPr>
        <w:t>4.66</w:t>
      </w:r>
      <w:r>
        <w:rPr>
          <w:rFonts w:ascii="Times New Roman" w:hAnsi="Times New Roman" w:eastAsia="仿宋"/>
          <w:sz w:val="32"/>
          <w:szCs w:val="32"/>
        </w:rPr>
        <w:t>万元，占</w:t>
      </w:r>
      <w:r>
        <w:rPr>
          <w:rFonts w:hint="eastAsia" w:ascii="Times New Roman" w:hAnsi="Times New Roman" w:eastAsia="仿宋"/>
          <w:sz w:val="32"/>
          <w:szCs w:val="32"/>
        </w:rPr>
        <w:t>3</w:t>
      </w:r>
      <w:r>
        <w:rPr>
          <w:rFonts w:ascii="Times New Roman" w:hAnsi="Times New Roman" w:eastAsia="仿宋"/>
          <w:sz w:val="32"/>
          <w:szCs w:val="32"/>
        </w:rPr>
        <w:t>%；住房保障支出</w:t>
      </w:r>
      <w:r>
        <w:rPr>
          <w:rFonts w:hint="eastAsia" w:ascii="Times New Roman" w:hAnsi="Times New Roman" w:eastAsia="仿宋"/>
          <w:sz w:val="32"/>
          <w:szCs w:val="32"/>
          <w:lang w:val="en-US" w:eastAsia="zh-CN"/>
        </w:rPr>
        <w:t>7.90</w:t>
      </w:r>
      <w:r>
        <w:rPr>
          <w:rFonts w:ascii="Times New Roman" w:hAnsi="Times New Roman" w:eastAsia="仿宋"/>
          <w:sz w:val="32"/>
          <w:szCs w:val="32"/>
        </w:rPr>
        <w:t>万元，占</w:t>
      </w:r>
      <w:r>
        <w:rPr>
          <w:rFonts w:hint="eastAsia" w:ascii="Times New Roman" w:hAnsi="Times New Roman" w:eastAsia="仿宋"/>
          <w:sz w:val="32"/>
          <w:szCs w:val="32"/>
        </w:rPr>
        <w:t>6</w:t>
      </w:r>
      <w:r>
        <w:rPr>
          <w:rFonts w:ascii="Times New Roman" w:hAnsi="Times New Roman" w:eastAsia="仿宋"/>
          <w:sz w:val="32"/>
          <w:szCs w:val="32"/>
        </w:rPr>
        <w:t>%。</w:t>
      </w:r>
    </w:p>
    <w:p>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pStyle w:val="7"/>
        <w:ind w:left="0" w:leftChars="0" w:firstLine="0" w:firstLineChars="0"/>
        <w:rPr>
          <w:rFonts w:hint="eastAsia"/>
          <w:lang w:val="en-US" w:eastAsia="zh-CN"/>
        </w:rPr>
      </w:pPr>
      <w:r>
        <w:drawing>
          <wp:inline distT="0" distB="0" distL="114300" distR="114300">
            <wp:extent cx="5189220" cy="2378710"/>
            <wp:effectExtent l="4445" t="4445" r="6985" b="17145"/>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3"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3"/>
    </w:p>
    <w:p>
      <w:pPr>
        <w:spacing w:line="560" w:lineRule="exact"/>
        <w:ind w:firstLine="643" w:firstLineChars="200"/>
        <w:rPr>
          <w:rFonts w:eastAsia="仿宋"/>
          <w:sz w:val="32"/>
          <w:szCs w:val="32"/>
        </w:rPr>
      </w:pPr>
      <w:r>
        <w:rPr>
          <w:rFonts w:hint="eastAsia" w:ascii="仿宋" w:hAnsi="仿宋" w:eastAsia="仿宋"/>
          <w:b/>
          <w:sz w:val="32"/>
          <w:szCs w:val="32"/>
        </w:rPr>
        <w:t>202</w:t>
      </w:r>
      <w:r>
        <w:rPr>
          <w:rFonts w:hint="eastAsia" w:ascii="仿宋" w:hAnsi="仿宋" w:eastAsia="仿宋"/>
          <w:b/>
          <w:sz w:val="32"/>
          <w:szCs w:val="32"/>
          <w:lang w:val="en-US" w:eastAsia="zh-CN"/>
        </w:rPr>
        <w:t>5</w:t>
      </w:r>
      <w:r>
        <w:rPr>
          <w:rFonts w:hint="eastAsia" w:ascii="仿宋" w:hAnsi="仿宋" w:eastAsia="仿宋"/>
          <w:b/>
          <w:sz w:val="32"/>
          <w:szCs w:val="32"/>
        </w:rPr>
        <w:t>年度</w:t>
      </w:r>
      <w:r>
        <w:rPr>
          <w:rFonts w:ascii="Times New Roman" w:hAnsi="Times New Roman" w:eastAsia="仿宋"/>
          <w:sz w:val="32"/>
          <w:szCs w:val="32"/>
        </w:rPr>
        <w:t>一般公共预算支出决算数为</w:t>
      </w:r>
      <w:r>
        <w:rPr>
          <w:rFonts w:hint="eastAsia" w:ascii="Times New Roman" w:hAnsi="Times New Roman" w:eastAsia="仿宋"/>
          <w:sz w:val="32"/>
          <w:szCs w:val="32"/>
          <w:lang w:val="en-US" w:eastAsia="zh-CN"/>
        </w:rPr>
        <w:t>140.72</w:t>
      </w:r>
      <w:r>
        <w:rPr>
          <w:rFonts w:hint="eastAsia" w:ascii="Times New Roman" w:hAnsi="Times New Roman" w:eastAsia="仿宋"/>
          <w:sz w:val="32"/>
          <w:szCs w:val="32"/>
        </w:rPr>
        <w:t>万元</w:t>
      </w:r>
      <w:r>
        <w:rPr>
          <w:rFonts w:ascii="Times New Roman" w:hAnsi="Times New Roman" w:eastAsia="仿宋"/>
          <w:sz w:val="32"/>
          <w:szCs w:val="32"/>
        </w:rPr>
        <w:t>，完成预算100%。其中：</w:t>
      </w:r>
    </w:p>
    <w:p>
      <w:pPr>
        <w:spacing w:line="560" w:lineRule="exact"/>
        <w:ind w:firstLine="640" w:firstLineChars="200"/>
        <w:rPr>
          <w:rFonts w:eastAsia="仿宋"/>
          <w:sz w:val="32"/>
          <w:szCs w:val="32"/>
        </w:rPr>
      </w:pPr>
      <w:r>
        <w:rPr>
          <w:rFonts w:ascii="Times New Roman" w:hAnsi="Times New Roman" w:eastAsia="仿宋"/>
          <w:sz w:val="32"/>
          <w:szCs w:val="32"/>
        </w:rPr>
        <w:t>1.一般公共服务（类）民主党派及工商联事务（款）</w:t>
      </w:r>
      <w:r>
        <w:rPr>
          <w:rFonts w:hint="eastAsia" w:ascii="Times New Roman" w:hAnsi="Times New Roman" w:eastAsia="仿宋"/>
          <w:sz w:val="32"/>
          <w:szCs w:val="32"/>
        </w:rPr>
        <w:t>行政运行（项）、</w:t>
      </w:r>
      <w:r>
        <w:rPr>
          <w:rFonts w:ascii="Times New Roman" w:hAnsi="Times New Roman" w:eastAsia="仿宋"/>
          <w:sz w:val="32"/>
          <w:szCs w:val="32"/>
        </w:rPr>
        <w:t>一般行政管理事务</w:t>
      </w:r>
      <w:r>
        <w:rPr>
          <w:rFonts w:hint="eastAsia" w:ascii="Times New Roman" w:hAnsi="Times New Roman" w:eastAsia="仿宋"/>
          <w:sz w:val="32"/>
          <w:szCs w:val="32"/>
        </w:rPr>
        <w:t>（项）</w:t>
      </w:r>
      <w:r>
        <w:rPr>
          <w:rFonts w:ascii="Times New Roman" w:hAnsi="Times New Roman" w:eastAsia="仿宋"/>
          <w:sz w:val="32"/>
          <w:szCs w:val="32"/>
        </w:rPr>
        <w:t>:支出决算为</w:t>
      </w:r>
      <w:r>
        <w:rPr>
          <w:rFonts w:hint="eastAsia" w:ascii="Times New Roman" w:hAnsi="Times New Roman" w:eastAsia="仿宋"/>
          <w:sz w:val="32"/>
          <w:szCs w:val="32"/>
          <w:lang w:val="en-US" w:eastAsia="zh-CN"/>
        </w:rPr>
        <w:t>118.62</w:t>
      </w:r>
      <w:r>
        <w:rPr>
          <w:rFonts w:ascii="Times New Roman" w:hAnsi="Times New Roman" w:eastAsia="仿宋"/>
          <w:sz w:val="32"/>
          <w:szCs w:val="32"/>
        </w:rPr>
        <w:t>万元，完成预算100%，决算数等于预算数的主要原因是严格执行预算。</w:t>
      </w:r>
    </w:p>
    <w:p>
      <w:pPr>
        <w:spacing w:line="560" w:lineRule="exact"/>
        <w:ind w:firstLine="640" w:firstLineChars="200"/>
        <w:rPr>
          <w:rFonts w:eastAsia="仿宋"/>
          <w:sz w:val="32"/>
          <w:szCs w:val="32"/>
        </w:rPr>
      </w:pPr>
      <w:r>
        <w:rPr>
          <w:rFonts w:ascii="Times New Roman" w:hAnsi="Times New Roman" w:eastAsia="仿宋"/>
          <w:sz w:val="32"/>
          <w:szCs w:val="32"/>
        </w:rPr>
        <w:t>2.社会保障和就业（类）行政事业养老支出（款）机关事业单位养老保险（项）:支出决算为</w:t>
      </w:r>
      <w:r>
        <w:rPr>
          <w:rFonts w:hint="eastAsia" w:ascii="Times New Roman" w:hAnsi="Times New Roman" w:eastAsia="仿宋"/>
          <w:sz w:val="32"/>
          <w:szCs w:val="32"/>
          <w:lang w:val="en-US" w:eastAsia="zh-CN"/>
        </w:rPr>
        <w:t>9.54</w:t>
      </w:r>
      <w:r>
        <w:rPr>
          <w:rFonts w:ascii="Times New Roman" w:hAnsi="Times New Roman" w:eastAsia="仿宋"/>
          <w:sz w:val="32"/>
          <w:szCs w:val="32"/>
        </w:rPr>
        <w:t>万元，完成预算100%，决算数等于预算数的主要原因是严格执行预算。</w:t>
      </w:r>
    </w:p>
    <w:p>
      <w:pPr>
        <w:spacing w:line="560" w:lineRule="exact"/>
        <w:ind w:firstLine="640" w:firstLineChars="200"/>
        <w:rPr>
          <w:rFonts w:eastAsia="仿宋"/>
          <w:sz w:val="32"/>
          <w:szCs w:val="32"/>
        </w:rPr>
      </w:pPr>
      <w:r>
        <w:rPr>
          <w:rFonts w:ascii="Times New Roman" w:hAnsi="Times New Roman" w:eastAsia="仿宋"/>
          <w:sz w:val="32"/>
          <w:szCs w:val="32"/>
        </w:rPr>
        <w:t>3.卫生健康（类）行政单位医疗（款）行政单位医疗、公务员医疗补助（项）:支出决算为</w:t>
      </w:r>
      <w:r>
        <w:rPr>
          <w:rFonts w:hint="eastAsia" w:ascii="Times New Roman" w:hAnsi="Times New Roman" w:eastAsia="仿宋"/>
          <w:sz w:val="32"/>
          <w:szCs w:val="32"/>
          <w:lang w:val="en-US" w:eastAsia="zh-CN"/>
        </w:rPr>
        <w:t>4.66</w:t>
      </w:r>
      <w:r>
        <w:rPr>
          <w:rFonts w:ascii="Times New Roman" w:hAnsi="Times New Roman" w:eastAsia="仿宋"/>
          <w:sz w:val="32"/>
          <w:szCs w:val="32"/>
        </w:rPr>
        <w:t>万元，完成预算100%，决算数等于预算数的主要原因是严格执行预算。</w:t>
      </w:r>
    </w:p>
    <w:p>
      <w:pPr>
        <w:spacing w:line="560" w:lineRule="exact"/>
        <w:ind w:firstLine="640" w:firstLineChars="200"/>
        <w:rPr>
          <w:rFonts w:eastAsia="仿宋"/>
          <w:sz w:val="32"/>
          <w:szCs w:val="32"/>
        </w:rPr>
      </w:pPr>
      <w:r>
        <w:rPr>
          <w:rFonts w:ascii="Times New Roman" w:hAnsi="Times New Roman" w:eastAsia="仿宋"/>
          <w:sz w:val="32"/>
          <w:szCs w:val="32"/>
        </w:rPr>
        <w:t>4.住房保障（类）住房</w:t>
      </w:r>
      <w:r>
        <w:rPr>
          <w:rFonts w:hint="eastAsia" w:ascii="Times New Roman" w:hAnsi="Times New Roman" w:eastAsia="仿宋"/>
          <w:sz w:val="32"/>
          <w:szCs w:val="32"/>
        </w:rPr>
        <w:t>改革</w:t>
      </w:r>
      <w:r>
        <w:rPr>
          <w:rFonts w:ascii="Times New Roman" w:hAnsi="Times New Roman" w:eastAsia="仿宋"/>
          <w:sz w:val="32"/>
          <w:szCs w:val="32"/>
        </w:rPr>
        <w:t>（款）</w:t>
      </w:r>
      <w:r>
        <w:rPr>
          <w:rFonts w:hint="eastAsia" w:ascii="Times New Roman" w:hAnsi="Times New Roman" w:eastAsia="仿宋"/>
          <w:sz w:val="32"/>
          <w:szCs w:val="32"/>
        </w:rPr>
        <w:t>住房公积金（项）</w:t>
      </w:r>
      <w:r>
        <w:rPr>
          <w:rFonts w:ascii="Times New Roman" w:hAnsi="Times New Roman" w:eastAsia="仿宋"/>
          <w:sz w:val="32"/>
          <w:szCs w:val="32"/>
        </w:rPr>
        <w:t>：支出决算为</w:t>
      </w:r>
      <w:r>
        <w:rPr>
          <w:rFonts w:hint="eastAsia" w:ascii="Times New Roman" w:hAnsi="Times New Roman" w:eastAsia="仿宋"/>
          <w:sz w:val="32"/>
          <w:szCs w:val="32"/>
          <w:lang w:val="en-US" w:eastAsia="zh-CN"/>
        </w:rPr>
        <w:t>7.9</w:t>
      </w:r>
      <w:r>
        <w:rPr>
          <w:rFonts w:ascii="Times New Roman" w:hAnsi="Times New Roman" w:eastAsia="仿宋"/>
          <w:sz w:val="32"/>
          <w:szCs w:val="32"/>
        </w:rPr>
        <w:t>万元，完成预算100%，决算数等于预算数的主要原因是严格执行预算。</w:t>
      </w:r>
    </w:p>
    <w:p>
      <w:pPr>
        <w:pStyle w:val="14"/>
        <w:rPr>
          <w:rFonts w:hint="eastAsia"/>
          <w:lang w:val="en-US" w:eastAsia="zh-CN"/>
        </w:rPr>
      </w:pPr>
    </w:p>
    <w:p>
      <w:pPr>
        <w:tabs>
          <w:tab w:val="right" w:pos="8306"/>
        </w:tabs>
        <w:spacing w:line="600" w:lineRule="exact"/>
        <w:ind w:firstLine="640"/>
        <w:outlineLvl w:val="1"/>
        <w:rPr>
          <w:rStyle w:val="31"/>
          <w:rFonts w:ascii="Times New Roman" w:hAnsi="Times New Roman"/>
          <w:color w:val="auto"/>
          <w:highlight w:val="none"/>
        </w:rPr>
      </w:pPr>
      <w:bookmarkStart w:id="24" w:name="_Toc15377214"/>
      <w:bookmarkStart w:id="25"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24"/>
      <w:bookmarkEnd w:id="25"/>
      <w:r>
        <w:rPr>
          <w:rStyle w:val="31"/>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105.50</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93.65</w:t>
      </w:r>
      <w:r>
        <w:rPr>
          <w:rFonts w:hint="eastAsia" w:ascii="Times New Roman" w:hAnsi="Times New Roman" w:eastAsia="仿宋_GB2312" w:cs="仿宋_GB2312"/>
          <w:color w:val="auto"/>
          <w:kern w:val="2"/>
          <w:sz w:val="32"/>
          <w:szCs w:val="32"/>
          <w:highlight w:val="none"/>
          <w:lang w:val="en-US" w:eastAsia="zh-CN" w:bidi="ar-SA"/>
        </w:rPr>
        <w:t>万元，主要包括：基本工资</w:t>
      </w:r>
      <w:r>
        <w:rPr>
          <w:rFonts w:hint="eastAsia" w:eastAsia="仿宋_GB2312" w:cs="仿宋_GB2312"/>
          <w:color w:val="auto"/>
          <w:kern w:val="2"/>
          <w:sz w:val="32"/>
          <w:szCs w:val="32"/>
          <w:highlight w:val="none"/>
          <w:lang w:val="en-US" w:eastAsia="zh-CN" w:bidi="ar-SA"/>
        </w:rPr>
        <w:t>28.27万元</w:t>
      </w:r>
      <w:r>
        <w:rPr>
          <w:rFonts w:hint="eastAsia" w:ascii="Times New Roman" w:hAnsi="Times New Roman" w:eastAsia="仿宋_GB2312" w:cs="仿宋_GB2312"/>
          <w:color w:val="auto"/>
          <w:kern w:val="2"/>
          <w:sz w:val="32"/>
          <w:szCs w:val="32"/>
          <w:highlight w:val="none"/>
          <w:lang w:val="en-US" w:eastAsia="zh-CN" w:bidi="ar-SA"/>
        </w:rPr>
        <w:t>、津贴补贴</w:t>
      </w:r>
      <w:r>
        <w:rPr>
          <w:rFonts w:hint="eastAsia" w:eastAsia="仿宋_GB2312" w:cs="仿宋_GB2312"/>
          <w:color w:val="auto"/>
          <w:kern w:val="2"/>
          <w:sz w:val="32"/>
          <w:szCs w:val="32"/>
          <w:highlight w:val="none"/>
          <w:lang w:val="en-US" w:eastAsia="zh-CN" w:bidi="ar-SA"/>
        </w:rPr>
        <w:t>16.15万元</w:t>
      </w:r>
      <w:r>
        <w:rPr>
          <w:rFonts w:hint="eastAsia" w:ascii="Times New Roman" w:hAnsi="Times New Roman" w:eastAsia="仿宋_GB2312" w:cs="仿宋_GB2312"/>
          <w:color w:val="auto"/>
          <w:kern w:val="2"/>
          <w:sz w:val="32"/>
          <w:szCs w:val="32"/>
          <w:highlight w:val="none"/>
          <w:lang w:val="en-US" w:eastAsia="zh-CN" w:bidi="ar-SA"/>
        </w:rPr>
        <w:t>、奖金</w:t>
      </w:r>
      <w:r>
        <w:rPr>
          <w:rFonts w:hint="eastAsia" w:eastAsia="仿宋_GB2312" w:cs="仿宋_GB2312"/>
          <w:color w:val="auto"/>
          <w:kern w:val="2"/>
          <w:sz w:val="32"/>
          <w:szCs w:val="32"/>
          <w:highlight w:val="none"/>
          <w:lang w:val="en-US" w:eastAsia="zh-CN" w:bidi="ar-SA"/>
        </w:rPr>
        <w:t>27.01万元</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w:t>
      </w:r>
      <w:r>
        <w:rPr>
          <w:rFonts w:hint="eastAsia" w:eastAsia="仿宋_GB2312" w:cs="仿宋_GB2312"/>
          <w:color w:val="auto"/>
          <w:kern w:val="2"/>
          <w:sz w:val="32"/>
          <w:szCs w:val="32"/>
          <w:highlight w:val="none"/>
          <w:lang w:val="en-US" w:eastAsia="zh-CN" w:bidi="ar-SA"/>
        </w:rPr>
        <w:t>9.54万元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职工基本医疗保险缴费3.84万元</w:t>
      </w:r>
      <w:r>
        <w:rPr>
          <w:rFonts w:hint="eastAsia" w:ascii="Times New Roman" w:hAnsi="Times New Roman" w:eastAsia="仿宋_GB2312" w:cs="仿宋_GB2312"/>
          <w:color w:val="auto"/>
          <w:kern w:val="2"/>
          <w:sz w:val="32"/>
          <w:szCs w:val="32"/>
          <w:highlight w:val="none"/>
          <w:lang w:val="en-US" w:eastAsia="zh-CN" w:bidi="ar-SA"/>
        </w:rPr>
        <w:t>、公务员医疗补助缴费</w:t>
      </w:r>
      <w:r>
        <w:rPr>
          <w:rFonts w:hint="eastAsia" w:eastAsia="仿宋_GB2312" w:cs="仿宋_GB2312"/>
          <w:color w:val="auto"/>
          <w:kern w:val="2"/>
          <w:sz w:val="32"/>
          <w:szCs w:val="32"/>
          <w:highlight w:val="none"/>
          <w:lang w:val="en-US" w:eastAsia="zh-CN" w:bidi="ar-SA"/>
        </w:rPr>
        <w:t>0.81万元、</w:t>
      </w:r>
      <w:r>
        <w:rPr>
          <w:rFonts w:hint="eastAsia" w:ascii="Times New Roman" w:hAnsi="Times New Roman" w:eastAsia="仿宋_GB2312" w:cs="仿宋_GB2312"/>
          <w:color w:val="auto"/>
          <w:kern w:val="2"/>
          <w:sz w:val="32"/>
          <w:szCs w:val="32"/>
          <w:highlight w:val="none"/>
          <w:lang w:val="en-US" w:eastAsia="zh-CN" w:bidi="ar-SA"/>
        </w:rPr>
        <w:t>其他社会保障缴费</w:t>
      </w:r>
      <w:r>
        <w:rPr>
          <w:rFonts w:hint="eastAsia" w:eastAsia="仿宋_GB2312" w:cs="仿宋_GB2312"/>
          <w:color w:val="auto"/>
          <w:kern w:val="2"/>
          <w:sz w:val="32"/>
          <w:szCs w:val="32"/>
          <w:highlight w:val="none"/>
          <w:lang w:val="en-US" w:eastAsia="zh-CN" w:bidi="ar-SA"/>
        </w:rPr>
        <w:t>0.12万元</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eastAsia" w:eastAsia="仿宋_GB2312" w:cs="仿宋_GB2312"/>
          <w:color w:val="auto"/>
          <w:kern w:val="2"/>
          <w:sz w:val="32"/>
          <w:szCs w:val="32"/>
          <w:highlight w:val="none"/>
          <w:lang w:val="en-US" w:eastAsia="zh-CN" w:bidi="ar-SA"/>
        </w:rPr>
        <w:t>7.90万元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11.86</w:t>
      </w:r>
      <w:r>
        <w:rPr>
          <w:rFonts w:hint="eastAsia" w:ascii="Times New Roman" w:hAnsi="Times New Roman" w:eastAsia="仿宋_GB2312" w:cs="仿宋_GB2312"/>
          <w:color w:val="auto"/>
          <w:kern w:val="2"/>
          <w:sz w:val="32"/>
          <w:szCs w:val="32"/>
          <w:highlight w:val="none"/>
          <w:lang w:val="en-US" w:eastAsia="zh-CN" w:bidi="ar-SA"/>
        </w:rPr>
        <w:t>万元，主要包括：办公费</w:t>
      </w:r>
      <w:r>
        <w:rPr>
          <w:rFonts w:hint="eastAsia" w:eastAsia="仿宋_GB2312" w:cs="仿宋_GB2312"/>
          <w:color w:val="auto"/>
          <w:kern w:val="2"/>
          <w:sz w:val="32"/>
          <w:szCs w:val="32"/>
          <w:highlight w:val="none"/>
          <w:lang w:val="en-US" w:eastAsia="zh-CN" w:bidi="ar-SA"/>
        </w:rPr>
        <w:t>3.20万元</w:t>
      </w:r>
      <w:r>
        <w:rPr>
          <w:rFonts w:hint="eastAsia" w:ascii="Times New Roman" w:hAnsi="Times New Roman" w:eastAsia="仿宋_GB2312" w:cs="仿宋_GB2312"/>
          <w:color w:val="auto"/>
          <w:kern w:val="2"/>
          <w:sz w:val="32"/>
          <w:szCs w:val="32"/>
          <w:highlight w:val="none"/>
          <w:lang w:val="en-US" w:eastAsia="zh-CN" w:bidi="ar-SA"/>
        </w:rPr>
        <w:t>、印刷费</w:t>
      </w:r>
      <w:r>
        <w:rPr>
          <w:rFonts w:hint="eastAsia" w:eastAsia="仿宋_GB2312" w:cs="仿宋_GB2312"/>
          <w:color w:val="auto"/>
          <w:kern w:val="2"/>
          <w:sz w:val="32"/>
          <w:szCs w:val="32"/>
          <w:highlight w:val="none"/>
          <w:lang w:val="en-US" w:eastAsia="zh-CN" w:bidi="ar-SA"/>
        </w:rPr>
        <w:t>1.00万元</w:t>
      </w:r>
      <w:r>
        <w:rPr>
          <w:rFonts w:hint="eastAsia" w:ascii="Times New Roman" w:hAnsi="Times New Roman" w:eastAsia="仿宋_GB2312" w:cs="仿宋_GB2312"/>
          <w:color w:val="auto"/>
          <w:kern w:val="2"/>
          <w:sz w:val="32"/>
          <w:szCs w:val="32"/>
          <w:highlight w:val="none"/>
          <w:lang w:val="en-US" w:eastAsia="zh-CN" w:bidi="ar-SA"/>
        </w:rPr>
        <w:t>、差旅费</w:t>
      </w:r>
      <w:r>
        <w:rPr>
          <w:rFonts w:hint="eastAsia" w:eastAsia="仿宋_GB2312" w:cs="仿宋_GB2312"/>
          <w:color w:val="auto"/>
          <w:kern w:val="2"/>
          <w:sz w:val="32"/>
          <w:szCs w:val="32"/>
          <w:highlight w:val="none"/>
          <w:lang w:val="en-US" w:eastAsia="zh-CN" w:bidi="ar-SA"/>
        </w:rPr>
        <w:t>2.00万元</w:t>
      </w:r>
      <w:r>
        <w:rPr>
          <w:rFonts w:hint="eastAsia" w:ascii="Times New Roman" w:hAnsi="Times New Roman" w:eastAsia="仿宋_GB2312" w:cs="仿宋_GB2312"/>
          <w:color w:val="auto"/>
          <w:kern w:val="2"/>
          <w:sz w:val="32"/>
          <w:szCs w:val="32"/>
          <w:highlight w:val="none"/>
          <w:lang w:val="en-US" w:eastAsia="zh-CN" w:bidi="ar-SA"/>
        </w:rPr>
        <w:t>、会议费</w:t>
      </w:r>
      <w:r>
        <w:rPr>
          <w:rFonts w:hint="eastAsia" w:eastAsia="仿宋_GB2312" w:cs="仿宋_GB2312"/>
          <w:color w:val="auto"/>
          <w:kern w:val="2"/>
          <w:sz w:val="32"/>
          <w:szCs w:val="32"/>
          <w:highlight w:val="none"/>
          <w:lang w:val="en-US" w:eastAsia="zh-CN" w:bidi="ar-SA"/>
        </w:rPr>
        <w:t>1.00万元</w:t>
      </w:r>
      <w:r>
        <w:rPr>
          <w:rFonts w:hint="eastAsia" w:ascii="Times New Roman" w:hAnsi="Times New Roman" w:eastAsia="仿宋_GB2312" w:cs="仿宋_GB2312"/>
          <w:color w:val="auto"/>
          <w:kern w:val="2"/>
          <w:sz w:val="32"/>
          <w:szCs w:val="32"/>
          <w:highlight w:val="none"/>
          <w:lang w:val="en-US" w:eastAsia="zh-CN" w:bidi="ar-SA"/>
        </w:rPr>
        <w:t>、其他交通费</w:t>
      </w:r>
      <w:r>
        <w:rPr>
          <w:rFonts w:hint="eastAsia" w:eastAsia="仿宋_GB2312" w:cs="仿宋_GB2312"/>
          <w:color w:val="auto"/>
          <w:kern w:val="2"/>
          <w:sz w:val="32"/>
          <w:szCs w:val="32"/>
          <w:highlight w:val="none"/>
          <w:lang w:val="en-US" w:eastAsia="zh-CN" w:bidi="ar-SA"/>
        </w:rPr>
        <w:t>4.66万元</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outlineLvl w:val="1"/>
        <w:rPr>
          <w:rStyle w:val="31"/>
          <w:rFonts w:ascii="Times New Roman" w:hAnsi="Times New Roman" w:eastAsia="黑体"/>
          <w:b w:val="0"/>
          <w:color w:val="auto"/>
          <w:highlight w:val="none"/>
        </w:rPr>
      </w:pPr>
      <w:bookmarkStart w:id="26" w:name="_Toc15396609"/>
      <w:bookmarkStart w:id="27" w:name="_Toc15377215"/>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26"/>
      <w:bookmarkEnd w:id="27"/>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28"/>
    </w:p>
    <w:p>
      <w:pPr>
        <w:spacing w:line="600" w:lineRule="exact"/>
        <w:ind w:firstLine="640"/>
        <w:rPr>
          <w:rFonts w:hint="eastAsia" w:ascii="仿宋" w:hAnsi="仿宋" w:eastAsia="仿宋"/>
          <w:sz w:val="32"/>
          <w:szCs w:val="32"/>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%，较上年度增加/减少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 w:hAnsi="仿宋" w:eastAsia="仿宋"/>
          <w:sz w:val="32"/>
          <w:szCs w:val="32"/>
        </w:rPr>
        <w:t>本年无相关支出</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2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ascii="Times New Roman" w:hAnsi="Times New Roman" w:eastAsia="仿宋"/>
          <w:sz w:val="32"/>
          <w:szCs w:val="32"/>
        </w:rPr>
        <w:t>(注：本部门不涉及该内容)</w:t>
      </w:r>
      <w:r>
        <w:rPr>
          <w:rFonts w:hint="eastAsia" w:ascii="Times New Roman" w:hAnsi="Times New Roman" w:eastAsia="仿宋_GB2312" w:cs="仿宋_GB2312"/>
          <w:color w:val="auto"/>
          <w:kern w:val="2"/>
          <w:sz w:val="32"/>
          <w:szCs w:val="32"/>
          <w:highlight w:val="none"/>
          <w:lang w:val="en-US" w:eastAsia="zh-CN" w:bidi="ar-SA"/>
        </w:rPr>
        <w:t>具体情况如下：</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pPr>
        <w:spacing w:line="600" w:lineRule="exact"/>
        <w:ind w:firstLine="640"/>
        <w:rPr>
          <w:rFonts w:hint="eastAsia" w:ascii="Times New Roman" w:hAnsi="Times New Roman" w:eastAsia="仿宋"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ascii="Times New Roman" w:hAnsi="Times New Roman" w:eastAsia="仿宋"/>
          <w:sz w:val="32"/>
          <w:szCs w:val="32"/>
        </w:rPr>
        <w:t>(注：本部门不涉及该内容)</w:t>
      </w:r>
    </w:p>
    <w:p>
      <w:pPr>
        <w:spacing w:line="600" w:lineRule="exact"/>
        <w:ind w:firstLine="640"/>
        <w:rPr>
          <w:rFonts w:hint="eastAsia" w:ascii="Times New Roman" w:hAnsi="Times New Roman" w:eastAsia="仿宋"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0.00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ascii="Times New Roman" w:hAnsi="Times New Roman" w:eastAsia="仿宋"/>
          <w:sz w:val="32"/>
          <w:szCs w:val="32"/>
        </w:rPr>
        <w:t>(注：本部门不涉及该内容)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 w:hAnsi="仿宋" w:eastAsia="仿宋"/>
          <w:sz w:val="32"/>
          <w:szCs w:val="32"/>
        </w:rPr>
        <w:t>本年无相关支出</w:t>
      </w: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r>
        <w:rPr>
          <w:rFonts w:ascii="Times New Roman" w:hAnsi="Times New Roman" w:eastAsia="仿宋"/>
          <w:sz w:val="32"/>
          <w:szCs w:val="32"/>
        </w:rPr>
        <w:t>(注：本部门不涉及该内容)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w:t>
      </w:r>
      <w:r>
        <w:rPr>
          <w:rFonts w:hint="eastAsia" w:ascii="仿宋" w:hAnsi="仿宋" w:eastAsia="仿宋"/>
          <w:sz w:val="32"/>
          <w:szCs w:val="32"/>
        </w:rPr>
        <w:t>本年无相关支出</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0.00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ascii="Times New Roman" w:hAnsi="Times New Roman" w:eastAsia="仿宋"/>
          <w:sz w:val="32"/>
          <w:szCs w:val="32"/>
        </w:rPr>
        <w:t>(注：本部门不涉及该内容)</w:t>
      </w:r>
      <w:r>
        <w:rPr>
          <w:rFonts w:hint="eastAsia" w:ascii="Times New Roman" w:hAnsi="Times New Roman" w:eastAsia="仿宋_GB2312" w:cs="仿宋_GB2312"/>
          <w:color w:val="auto"/>
          <w:kern w:val="2"/>
          <w:sz w:val="32"/>
          <w:szCs w:val="32"/>
          <w:highlight w:val="none"/>
          <w:lang w:val="en-US" w:eastAsia="zh-CN" w:bidi="ar-SA"/>
        </w:rPr>
        <w:t>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w:t>
      </w:r>
      <w:r>
        <w:rPr>
          <w:rFonts w:ascii="Times New Roman" w:hAnsi="Times New Roman" w:eastAsia="仿宋"/>
          <w:sz w:val="32"/>
          <w:szCs w:val="32"/>
        </w:rPr>
        <w:t>(注：本部门不涉及该内容)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bookmarkStart w:id="30" w:name="_Toc15377218"/>
      <w:bookmarkStart w:id="31" w:name="_Toc15396610"/>
      <w:r>
        <w:rPr>
          <w:rFonts w:ascii="Times New Roman" w:hAnsi="Times New Roman" w:eastAsia="仿宋"/>
          <w:sz w:val="32"/>
          <w:szCs w:val="32"/>
        </w:rPr>
        <w:t>(注：本部门不涉及该内容)</w:t>
      </w:r>
    </w:p>
    <w:p>
      <w:pPr>
        <w:spacing w:line="600" w:lineRule="exact"/>
        <w:ind w:firstLine="640"/>
        <w:outlineLvl w:val="1"/>
        <w:rPr>
          <w:rStyle w:val="31"/>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30"/>
      <w:bookmarkEnd w:id="31"/>
    </w:p>
    <w:p>
      <w:pPr>
        <w:spacing w:line="600" w:lineRule="exact"/>
        <w:ind w:firstLine="640"/>
        <w:rPr>
          <w:rFonts w:hint="eastAsia" w:ascii="Times New Roman" w:hAnsi="Times New Roman" w:eastAsia="仿宋"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ascii="Times New Roman" w:hAnsi="Times New Roman" w:eastAsia="仿宋"/>
          <w:sz w:val="32"/>
          <w:szCs w:val="32"/>
        </w:rPr>
        <w:t>(注：本部门不涉及该内容)</w:t>
      </w:r>
    </w:p>
    <w:p>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32" w:name="_Toc15377219"/>
      <w:bookmarkStart w:id="33" w:name="_Toc15396611"/>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32"/>
      <w:bookmarkEnd w:id="33"/>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outlineLvl w:val="1"/>
        <w:rPr>
          <w:rFonts w:hint="eastAsia" w:ascii="仿宋" w:hAnsi="仿宋" w:eastAsia="仿宋"/>
          <w:sz w:val="32"/>
          <w:szCs w:val="32"/>
          <w:lang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bookmarkStart w:id="34" w:name="_Toc15396612"/>
      <w:bookmarkStart w:id="35" w:name="_Toc15377221"/>
      <w:r>
        <w:rPr>
          <w:rFonts w:ascii="Times New Roman" w:hAnsi="Times New Roman" w:eastAsia="仿宋"/>
          <w:sz w:val="32"/>
          <w:szCs w:val="32"/>
        </w:rPr>
        <w:t>(注：本部门不涉及该内容)</w:t>
      </w:r>
    </w:p>
    <w:p>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34"/>
      <w:bookmarkEnd w:id="35"/>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6" w:name="_Toc15377222"/>
      <w:r>
        <w:rPr>
          <w:rFonts w:hint="eastAsia" w:ascii="Times New Roman" w:hAnsi="Times New Roman" w:eastAsia="楷体_GB2312" w:cs="楷体_GB2312"/>
          <w:b/>
          <w:color w:val="auto"/>
          <w:sz w:val="32"/>
          <w:szCs w:val="32"/>
          <w:highlight w:val="none"/>
        </w:rPr>
        <w:t>（一）机关运行经费支出情况</w:t>
      </w:r>
      <w:bookmarkEnd w:id="3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ascii="Times New Roman" w:hAnsi="Times New Roman" w:eastAsia="仿宋"/>
          <w:sz w:val="32"/>
          <w:szCs w:val="32"/>
        </w:rPr>
        <w:t>中国农工民主党巴中市委员会</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11.86</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%（或与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年度决算数持平）。</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7" w:name="_Toc15377223"/>
      <w:r>
        <w:rPr>
          <w:rFonts w:hint="eastAsia" w:ascii="Times New Roman" w:hAnsi="Times New Roman" w:eastAsia="楷体_GB2312" w:cs="楷体_GB2312"/>
          <w:b/>
          <w:color w:val="auto"/>
          <w:sz w:val="32"/>
          <w:szCs w:val="32"/>
          <w:highlight w:val="none"/>
        </w:rPr>
        <w:t>（二）政府采购支出情况</w:t>
      </w:r>
      <w:bookmarkEnd w:id="37"/>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ascii="Times New Roman" w:hAnsi="Times New Roman" w:eastAsia="仿宋"/>
          <w:sz w:val="32"/>
          <w:szCs w:val="32"/>
        </w:rPr>
        <w:t>中国农工民主党巴中市委员会</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ascii="Times New Roman" w:hAnsi="Times New Roman" w:eastAsia="仿宋"/>
          <w:sz w:val="32"/>
          <w:szCs w:val="32"/>
        </w:rPr>
        <w:t>(注：本部门不涉及该内容)</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24"/>
      <w:r>
        <w:rPr>
          <w:rFonts w:hint="eastAsia" w:ascii="Times New Roman" w:hAnsi="Times New Roman" w:eastAsia="楷体_GB2312" w:cs="楷体_GB2312"/>
          <w:b/>
          <w:color w:val="auto"/>
          <w:sz w:val="32"/>
          <w:szCs w:val="32"/>
          <w:highlight w:val="none"/>
        </w:rPr>
        <w:t>（三）国有资产占有使用情况</w:t>
      </w:r>
      <w:bookmarkEnd w:id="38"/>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ascii="Times New Roman" w:hAnsi="Times New Roman" w:eastAsia="仿宋"/>
          <w:sz w:val="32"/>
          <w:szCs w:val="32"/>
        </w:rPr>
        <w:t>中国农工民主党巴中市委员会</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辆、机要通信用车**辆、应急保障用车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r>
        <w:rPr>
          <w:rFonts w:ascii="Times New Roman" w:hAnsi="Times New Roman" w:eastAsia="仿宋"/>
          <w:sz w:val="32"/>
          <w:szCs w:val="32"/>
        </w:rPr>
        <w:t>(注：本部门不涉及该内容)</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ascii="Times New Roman" w:hAnsi="Times New Roman" w:eastAsia="仿宋"/>
          <w:sz w:val="32"/>
          <w:szCs w:val="32"/>
        </w:rPr>
        <w:t>中国农工民主党巴中市委员会</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个项目开展绩效监控。</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组织对2025年度一般公共预算全面开展绩效自评，形成</w:t>
      </w:r>
      <w:r>
        <w:rPr>
          <w:rFonts w:ascii="Times New Roman" w:hAnsi="Times New Roman" w:eastAsia="仿宋"/>
          <w:sz w:val="32"/>
          <w:szCs w:val="32"/>
        </w:rPr>
        <w:t>中国农工民主党巴中市委员会</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部门预算（含部门预算项目）绩效自评报告，其中，</w:t>
      </w:r>
      <w:r>
        <w:rPr>
          <w:rFonts w:ascii="Times New Roman" w:hAnsi="Times New Roman" w:eastAsia="仿宋"/>
          <w:sz w:val="32"/>
          <w:szCs w:val="32"/>
        </w:rPr>
        <w:t>中国农工民主党巴中市委员会</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部门预算（含部门预算项目）绩效自评得分为</w:t>
      </w:r>
      <w:r>
        <w:rPr>
          <w:rFonts w:hint="eastAsia" w:eastAsia="仿宋_GB2312" w:cs="仿宋_GB2312"/>
          <w:color w:val="auto"/>
          <w:kern w:val="2"/>
          <w:sz w:val="32"/>
          <w:szCs w:val="32"/>
          <w:highlight w:val="none"/>
          <w:lang w:val="en-US" w:eastAsia="zh-CN" w:bidi="ar-SA"/>
        </w:rPr>
        <w:t>95</w:t>
      </w:r>
      <w:r>
        <w:rPr>
          <w:rFonts w:hint="eastAsia" w:ascii="Times New Roman" w:hAnsi="Times New Roman" w:eastAsia="仿宋_GB2312" w:cs="仿宋_GB2312"/>
          <w:color w:val="auto"/>
          <w:kern w:val="2"/>
          <w:sz w:val="32"/>
          <w:szCs w:val="32"/>
          <w:highlight w:val="none"/>
          <w:lang w:val="en-US" w:eastAsia="zh-CN" w:bidi="ar-SA"/>
        </w:rPr>
        <w:t>分，</w:t>
      </w:r>
      <w:r>
        <w:rPr>
          <w:rFonts w:hint="eastAsia" w:ascii="仿宋" w:hAnsi="仿宋" w:eastAsia="仿宋" w:cs="仿宋"/>
          <w:sz w:val="32"/>
          <w:szCs w:val="32"/>
        </w:rPr>
        <w:t>评价等级为优秀</w:t>
      </w:r>
      <w:r>
        <w:rPr>
          <w:rFonts w:hint="eastAsia" w:ascii="仿宋" w:hAnsi="仿宋" w:eastAsia="仿宋" w:cs="仿宋"/>
          <w:sz w:val="32"/>
          <w:szCs w:val="32"/>
          <w:lang w:eastAsia="zh-CN"/>
        </w:rPr>
        <w:t>。</w:t>
      </w:r>
      <w:r>
        <w:rPr>
          <w:rFonts w:hint="eastAsia" w:ascii="Times New Roman" w:hAnsi="Times New Roman" w:eastAsia="仿宋_GB2312" w:cs="仿宋_GB2312"/>
          <w:color w:val="auto"/>
          <w:kern w:val="2"/>
          <w:sz w:val="32"/>
          <w:szCs w:val="32"/>
          <w:highlight w:val="none"/>
          <w:lang w:val="en-US" w:eastAsia="zh-CN" w:bidi="ar-SA"/>
        </w:rPr>
        <w:t>绩效自评综述</w:t>
      </w:r>
      <w:r>
        <w:rPr>
          <w:rFonts w:hint="eastAsia" w:ascii="仿宋" w:hAnsi="仿宋" w:eastAsia="仿宋" w:cs="仿宋"/>
          <w:sz w:val="32"/>
          <w:szCs w:val="32"/>
        </w:rPr>
        <w:t>履职效能方面得分18分、预算管理方面得分19分、财务管理方面得分9.5分、资产管理方面得分8分、采购管理方面得分6分、项目决策方面得分11.5分，项目执行方面得分12分,目标实现方面得分11分</w:t>
      </w:r>
      <w:r>
        <w:rPr>
          <w:rFonts w:hint="eastAsia" w:ascii="仿宋" w:hAnsi="仿宋" w:eastAsia="仿宋" w:cs="仿宋"/>
          <w:sz w:val="32"/>
          <w:szCs w:val="32"/>
          <w:lang w:eastAsia="zh-CN"/>
        </w:rPr>
        <w:t>，</w:t>
      </w:r>
      <w:r>
        <w:rPr>
          <w:rFonts w:ascii="Times New Roman" w:hAnsi="Times New Roman" w:eastAsia="仿宋"/>
          <w:sz w:val="32"/>
          <w:szCs w:val="32"/>
        </w:rPr>
        <w:t>此次评价是完全按照项目需要和我党派实际情况作出的正确评价，资料齐全，依据充分，每项项目预算均达到了预期目标</w:t>
      </w:r>
      <w:r>
        <w:rPr>
          <w:rFonts w:hint="eastAsia" w:ascii="Times New Roman" w:hAnsi="Times New Roman" w:eastAsia="仿宋_GB2312" w:cs="仿宋_GB2312"/>
          <w:color w:val="auto"/>
          <w:kern w:val="2"/>
          <w:sz w:val="32"/>
          <w:szCs w:val="32"/>
          <w:highlight w:val="none"/>
          <w:lang w:val="en-US" w:eastAsia="zh-CN" w:bidi="ar-SA"/>
        </w:rPr>
        <w:t>。绩效自评报告详见</w:t>
      </w:r>
      <w:r>
        <w:rPr>
          <w:rFonts w:hint="eastAsia" w:eastAsia="仿宋_GB2312" w:cs="仿宋_GB2312"/>
          <w:color w:val="auto"/>
          <w:kern w:val="2"/>
          <w:sz w:val="32"/>
          <w:szCs w:val="32"/>
          <w:highlight w:val="none"/>
          <w:lang w:val="en-US" w:eastAsia="zh-CN" w:bidi="ar-SA"/>
        </w:rPr>
        <w:t>第四部分</w:t>
      </w:r>
      <w:r>
        <w:rPr>
          <w:rFonts w:hint="eastAsia" w:ascii="Times New Roman" w:hAnsi="Times New Roman" w:eastAsia="仿宋_GB2312" w:cs="仿宋_GB2312"/>
          <w:color w:val="auto"/>
          <w:kern w:val="2"/>
          <w:sz w:val="32"/>
          <w:szCs w:val="32"/>
          <w:highlight w:val="none"/>
          <w:lang w:val="en-US" w:eastAsia="zh-CN" w:bidi="ar-SA"/>
        </w:rPr>
        <w:t>附件。</w:t>
      </w:r>
    </w:p>
    <w:p>
      <w:pPr>
        <w:pStyle w:val="14"/>
        <w:rPr>
          <w:rFonts w:hint="eastAsia" w:ascii="Times New Roman" w:hAnsi="Times New Roman" w:eastAsia="仿宋_GB2312" w:cs="仿宋_GB2312"/>
          <w:color w:val="auto"/>
          <w:kern w:val="2"/>
          <w:sz w:val="32"/>
          <w:szCs w:val="32"/>
          <w:highlight w:val="none"/>
          <w:lang w:val="en-US" w:eastAsia="zh-CN" w:bidi="ar-SA"/>
        </w:rPr>
      </w:pPr>
    </w:p>
    <w:p>
      <w:pPr>
        <w:pStyle w:val="7"/>
        <w:rPr>
          <w:rFonts w:hint="eastAsia" w:ascii="Times New Roman" w:hAnsi="Times New Roman" w:eastAsia="仿宋_GB2312" w:cs="仿宋_GB2312"/>
          <w:color w:val="auto"/>
          <w:kern w:val="2"/>
          <w:sz w:val="32"/>
          <w:szCs w:val="32"/>
          <w:highlight w:val="none"/>
          <w:lang w:val="en-US" w:eastAsia="zh-CN" w:bidi="ar-SA"/>
        </w:rPr>
      </w:pPr>
    </w:p>
    <w:p>
      <w:pPr>
        <w:pStyle w:val="7"/>
        <w:rPr>
          <w:rFonts w:hint="eastAsia" w:ascii="Times New Roman" w:hAnsi="Times New Roman" w:eastAsia="仿宋_GB2312" w:cs="仿宋_GB2312"/>
          <w:color w:val="auto"/>
          <w:kern w:val="2"/>
          <w:sz w:val="32"/>
          <w:szCs w:val="32"/>
          <w:highlight w:val="none"/>
          <w:lang w:val="en-US" w:eastAsia="zh-CN" w:bidi="ar-SA"/>
        </w:rPr>
      </w:pPr>
    </w:p>
    <w:p>
      <w:pPr>
        <w:pStyle w:val="7"/>
        <w:rPr>
          <w:rFonts w:hint="eastAsia" w:ascii="Times New Roman" w:hAnsi="Times New Roman" w:eastAsia="仿宋_GB2312" w:cs="仿宋_GB2312"/>
          <w:color w:val="auto"/>
          <w:kern w:val="2"/>
          <w:sz w:val="32"/>
          <w:szCs w:val="32"/>
          <w:highlight w:val="none"/>
          <w:lang w:val="en-US" w:eastAsia="zh-CN" w:bidi="ar-SA"/>
        </w:rPr>
      </w:pPr>
    </w:p>
    <w:p>
      <w:pPr>
        <w:pStyle w:val="7"/>
        <w:rPr>
          <w:rFonts w:hint="eastAsia" w:ascii="Times New Roman" w:hAnsi="Times New Roman" w:eastAsia="仿宋_GB2312" w:cs="仿宋_GB2312"/>
          <w:color w:val="auto"/>
          <w:kern w:val="2"/>
          <w:sz w:val="32"/>
          <w:szCs w:val="32"/>
          <w:highlight w:val="none"/>
          <w:lang w:val="en-US" w:eastAsia="zh-CN" w:bidi="ar-SA"/>
        </w:rPr>
      </w:pPr>
    </w:p>
    <w:p>
      <w:pPr>
        <w:pStyle w:val="7"/>
        <w:rPr>
          <w:rFonts w:hint="eastAsia" w:ascii="Times New Roman" w:hAnsi="Times New Roman" w:eastAsia="仿宋_GB2312" w:cs="仿宋_GB2312"/>
          <w:color w:val="auto"/>
          <w:kern w:val="2"/>
          <w:sz w:val="32"/>
          <w:szCs w:val="32"/>
          <w:highlight w:val="none"/>
          <w:lang w:val="en-US" w:eastAsia="zh-CN" w:bidi="ar-SA"/>
        </w:rPr>
      </w:pPr>
    </w:p>
    <w:p>
      <w:pPr>
        <w:pStyle w:val="7"/>
        <w:rPr>
          <w:rFonts w:hint="eastAsia" w:ascii="Times New Roman" w:hAnsi="Times New Roman" w:eastAsia="仿宋_GB2312" w:cs="仿宋_GB2312"/>
          <w:color w:val="auto"/>
          <w:kern w:val="2"/>
          <w:sz w:val="32"/>
          <w:szCs w:val="32"/>
          <w:highlight w:val="none"/>
          <w:lang w:val="en-US" w:eastAsia="zh-CN" w:bidi="ar-SA"/>
        </w:rPr>
      </w:pPr>
    </w:p>
    <w:p>
      <w:pPr>
        <w:pStyle w:val="7"/>
        <w:rPr>
          <w:rFonts w:hint="eastAsia" w:ascii="Times New Roman" w:hAnsi="Times New Roman" w:eastAsia="仿宋_GB2312" w:cs="仿宋_GB2312"/>
          <w:color w:val="auto"/>
          <w:kern w:val="2"/>
          <w:sz w:val="32"/>
          <w:szCs w:val="32"/>
          <w:highlight w:val="none"/>
          <w:lang w:val="en-US" w:eastAsia="zh-CN" w:bidi="ar-SA"/>
        </w:rPr>
      </w:pPr>
    </w:p>
    <w:p>
      <w:pPr>
        <w:pStyle w:val="7"/>
        <w:rPr>
          <w:rFonts w:hint="eastAsia" w:ascii="Times New Roman" w:hAnsi="Times New Roman" w:eastAsia="仿宋_GB2312" w:cs="仿宋_GB2312"/>
          <w:color w:val="auto"/>
          <w:kern w:val="2"/>
          <w:sz w:val="32"/>
          <w:szCs w:val="32"/>
          <w:highlight w:val="none"/>
          <w:lang w:val="en-US" w:eastAsia="zh-CN" w:bidi="ar-SA"/>
        </w:rPr>
      </w:pPr>
    </w:p>
    <w:p>
      <w:pPr>
        <w:pStyle w:val="7"/>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39" w:name="_Toc15377225"/>
      <w:bookmarkStart w:id="40"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39"/>
      <w:bookmarkEnd w:id="40"/>
    </w:p>
    <w:p>
      <w:pPr>
        <w:spacing w:line="600" w:lineRule="exact"/>
        <w:jc w:val="left"/>
        <w:rPr>
          <w:rFonts w:ascii="Times New Roman" w:hAnsi="Times New Roman"/>
          <w:b/>
          <w:color w:val="auto"/>
          <w:sz w:val="44"/>
          <w:szCs w:val="44"/>
          <w:highlight w:val="none"/>
        </w:rPr>
      </w:pPr>
    </w:p>
    <w:p>
      <w:pPr>
        <w:spacing w:line="560" w:lineRule="exact"/>
        <w:ind w:firstLine="640" w:firstLineChars="200"/>
        <w:rPr>
          <w:rFonts w:eastAsia="仿宋"/>
          <w:sz w:val="32"/>
          <w:szCs w:val="32"/>
        </w:rPr>
      </w:pPr>
      <w:bookmarkStart w:id="41" w:name="_Toc3908"/>
      <w:bookmarkStart w:id="42" w:name="_Toc15377226"/>
      <w:r>
        <w:rPr>
          <w:rFonts w:ascii="Times New Roman" w:hAnsi="Times New Roman" w:eastAsia="仿宋"/>
          <w:sz w:val="32"/>
          <w:szCs w:val="32"/>
        </w:rPr>
        <w:t>1.财政拨款收入：指单位从同级财政部门取得的财政预算资金。</w:t>
      </w:r>
      <w:bookmarkEnd w:id="41"/>
    </w:p>
    <w:p>
      <w:pPr>
        <w:spacing w:line="560" w:lineRule="exact"/>
        <w:ind w:firstLine="640" w:firstLineChars="200"/>
        <w:rPr>
          <w:rFonts w:eastAsia="仿宋"/>
          <w:sz w:val="32"/>
          <w:szCs w:val="32"/>
        </w:rPr>
      </w:pPr>
      <w:r>
        <w:rPr>
          <w:rFonts w:ascii="Times New Roman" w:hAnsi="Times New Roman" w:eastAsia="仿宋"/>
          <w:sz w:val="32"/>
          <w:szCs w:val="32"/>
        </w:rPr>
        <w:t>2.其他收入：指单位取得的除上述收入以外的各项收入。主要是利息等。</w:t>
      </w:r>
    </w:p>
    <w:p>
      <w:pPr>
        <w:spacing w:line="560" w:lineRule="exact"/>
        <w:ind w:firstLine="640" w:firstLineChars="200"/>
        <w:rPr>
          <w:rFonts w:eastAsia="仿宋"/>
          <w:sz w:val="32"/>
          <w:szCs w:val="32"/>
        </w:rPr>
      </w:pPr>
      <w:r>
        <w:rPr>
          <w:rFonts w:ascii="Times New Roman" w:hAnsi="Times New Roman" w:eastAsia="仿宋"/>
          <w:sz w:val="32"/>
          <w:szCs w:val="32"/>
        </w:rPr>
        <w:t>3.使用非财政拨款结余：指事业单位使用以前年度积累的非财政拨款结余弥补当年收支差额的金额。</w:t>
      </w:r>
    </w:p>
    <w:p>
      <w:pPr>
        <w:spacing w:line="560" w:lineRule="exact"/>
        <w:ind w:firstLine="640" w:firstLineChars="200"/>
        <w:rPr>
          <w:rFonts w:eastAsia="仿宋"/>
          <w:sz w:val="32"/>
          <w:szCs w:val="32"/>
        </w:rPr>
      </w:pPr>
      <w:r>
        <w:rPr>
          <w:rFonts w:ascii="Times New Roman" w:hAnsi="Times New Roman" w:eastAsia="仿宋"/>
          <w:sz w:val="32"/>
          <w:szCs w:val="32"/>
        </w:rPr>
        <w:t>4.年初结转和结余：指以前年度尚未完成、结转到本年按有关规定继续使用的资金。</w:t>
      </w:r>
    </w:p>
    <w:p>
      <w:pPr>
        <w:spacing w:line="560" w:lineRule="exact"/>
        <w:ind w:firstLine="640" w:firstLineChars="200"/>
        <w:rPr>
          <w:rFonts w:eastAsia="仿宋"/>
          <w:sz w:val="32"/>
          <w:szCs w:val="32"/>
        </w:rPr>
      </w:pPr>
      <w:r>
        <w:rPr>
          <w:rFonts w:ascii="Times New Roman" w:hAnsi="Times New Roman" w:eastAsia="仿宋"/>
          <w:sz w:val="32"/>
          <w:szCs w:val="32"/>
        </w:rPr>
        <w:t>5.结余分配：指事业单位按照会计制度规定缴纳的所得税、提取的专用结余以及转入非财政拨款结余的金额等。</w:t>
      </w:r>
    </w:p>
    <w:p>
      <w:pPr>
        <w:spacing w:line="560" w:lineRule="exact"/>
        <w:ind w:firstLine="640" w:firstLineChars="200"/>
        <w:rPr>
          <w:rFonts w:eastAsia="仿宋"/>
          <w:sz w:val="32"/>
          <w:szCs w:val="32"/>
        </w:rPr>
      </w:pPr>
      <w:r>
        <w:rPr>
          <w:rFonts w:ascii="Times New Roman" w:hAnsi="Times New Roman" w:eastAsia="仿宋"/>
          <w:sz w:val="32"/>
          <w:szCs w:val="32"/>
        </w:rPr>
        <w:t>6.年末结转和结余：指单位按有关规定结转到下年或以后年度继续使用的资金。</w:t>
      </w:r>
    </w:p>
    <w:p>
      <w:pPr>
        <w:spacing w:line="560" w:lineRule="exact"/>
        <w:ind w:firstLine="640" w:firstLineChars="200"/>
        <w:rPr>
          <w:rFonts w:eastAsia="仿宋"/>
          <w:sz w:val="32"/>
          <w:szCs w:val="32"/>
        </w:rPr>
      </w:pPr>
      <w:r>
        <w:rPr>
          <w:rFonts w:ascii="Times New Roman" w:hAnsi="Times New Roman" w:eastAsia="仿宋"/>
          <w:sz w:val="32"/>
          <w:szCs w:val="32"/>
        </w:rPr>
        <w:t>7.一般公共服务（类）民主党派及工商联事务（款）行政运行（项）：指行政单位（包括实行公务员管理的事业单位）的基本支出。</w:t>
      </w:r>
    </w:p>
    <w:p>
      <w:pPr>
        <w:spacing w:line="560" w:lineRule="exact"/>
        <w:ind w:firstLine="640" w:firstLineChars="200"/>
        <w:rPr>
          <w:rFonts w:eastAsia="仿宋"/>
          <w:sz w:val="32"/>
          <w:szCs w:val="32"/>
        </w:rPr>
      </w:pPr>
      <w:r>
        <w:rPr>
          <w:rFonts w:ascii="Times New Roman" w:hAnsi="Times New Roman" w:eastAsia="仿宋"/>
          <w:sz w:val="32"/>
          <w:szCs w:val="32"/>
        </w:rPr>
        <w:t>8.一般公共服务（类）民主党派及工商联事务（款）一般行政管理事务（项）：指行政单位（包括实行公务员管理的事业单位）未单独设置项级科目的其他项目支出。</w:t>
      </w:r>
    </w:p>
    <w:p>
      <w:pPr>
        <w:spacing w:line="560" w:lineRule="exact"/>
        <w:ind w:firstLine="640" w:firstLineChars="200"/>
        <w:rPr>
          <w:rFonts w:eastAsia="仿宋"/>
          <w:sz w:val="32"/>
          <w:szCs w:val="32"/>
        </w:rPr>
      </w:pPr>
      <w:r>
        <w:rPr>
          <w:rFonts w:ascii="Times New Roman" w:hAnsi="Times New Roman" w:eastAsia="仿宋"/>
          <w:sz w:val="32"/>
          <w:szCs w:val="32"/>
        </w:rPr>
        <w:t>9.一般公共服务（类）民主党派及工商联事务（款）参政议政（项）：指各民主党派为参政议政进行的调研、会议、检查等方面的支出。</w:t>
      </w:r>
    </w:p>
    <w:p>
      <w:pPr>
        <w:spacing w:line="560" w:lineRule="exact"/>
        <w:ind w:firstLine="640" w:firstLineChars="200"/>
        <w:rPr>
          <w:rFonts w:eastAsia="仿宋"/>
          <w:sz w:val="32"/>
          <w:szCs w:val="32"/>
        </w:rPr>
      </w:pPr>
      <w:r>
        <w:rPr>
          <w:rFonts w:ascii="Times New Roman" w:hAnsi="Times New Roman" w:eastAsia="仿宋"/>
          <w:sz w:val="32"/>
          <w:szCs w:val="32"/>
        </w:rPr>
        <w:t>10.社会保障和就业（类）行政事业单位养老支出（款）机关事业单位基本养老保险缴费支出（项）：指机关事业单位实施养老保险制度由单位缴纳的基本养老保险费支出。</w:t>
      </w:r>
    </w:p>
    <w:p>
      <w:pPr>
        <w:spacing w:line="560" w:lineRule="exact"/>
        <w:ind w:firstLine="640" w:firstLineChars="200"/>
        <w:rPr>
          <w:rFonts w:eastAsia="仿宋"/>
          <w:sz w:val="32"/>
          <w:szCs w:val="32"/>
        </w:rPr>
      </w:pPr>
      <w:r>
        <w:rPr>
          <w:rFonts w:ascii="Times New Roman" w:hAnsi="Times New Roman" w:eastAsia="仿宋"/>
          <w:sz w:val="32"/>
          <w:szCs w:val="32"/>
        </w:rPr>
        <w:t>11.卫生健康（类）行政事业单位医疗（款）行政单位医疗（项）：指行政单位（包括实行公务员管理的事业单位）基本医疗保险缴纳经费，未参加医疗保险的行政单位的公费医疗经费，按照国家规定享受离休人员、红军老战士待遇人员的医疗经费。</w:t>
      </w:r>
    </w:p>
    <w:p>
      <w:pPr>
        <w:spacing w:line="560" w:lineRule="exact"/>
        <w:ind w:firstLine="640" w:firstLineChars="200"/>
        <w:rPr>
          <w:rFonts w:eastAsia="仿宋"/>
          <w:sz w:val="32"/>
          <w:szCs w:val="32"/>
        </w:rPr>
      </w:pPr>
      <w:r>
        <w:rPr>
          <w:rFonts w:ascii="Times New Roman" w:hAnsi="Times New Roman" w:eastAsia="仿宋"/>
          <w:sz w:val="32"/>
          <w:szCs w:val="32"/>
        </w:rPr>
        <w:t>12.卫生健康（类）行政事业单位医疗（款）公务员医疗补助（项）：指财政部门安排的公务员医疗补助经费。</w:t>
      </w:r>
    </w:p>
    <w:p>
      <w:pPr>
        <w:spacing w:line="560" w:lineRule="exact"/>
        <w:ind w:firstLine="640" w:firstLineChars="200"/>
        <w:rPr>
          <w:rFonts w:eastAsia="仿宋"/>
          <w:sz w:val="32"/>
          <w:szCs w:val="32"/>
        </w:rPr>
      </w:pPr>
      <w:r>
        <w:rPr>
          <w:rFonts w:ascii="Times New Roman" w:hAnsi="Times New Roman" w:eastAsia="仿宋"/>
          <w:sz w:val="32"/>
          <w:szCs w:val="32"/>
        </w:rPr>
        <w:t>13.卫生健康（类）行政事业单位医疗（款）其他行政事业单位医疗支出（项）：指其他用于行政事业单位医疗方面的支出。</w:t>
      </w:r>
    </w:p>
    <w:p>
      <w:pPr>
        <w:spacing w:line="560" w:lineRule="exact"/>
        <w:ind w:firstLine="640" w:firstLineChars="200"/>
        <w:rPr>
          <w:rFonts w:eastAsia="仿宋"/>
          <w:sz w:val="32"/>
          <w:szCs w:val="32"/>
        </w:rPr>
      </w:pPr>
      <w:r>
        <w:rPr>
          <w:rFonts w:ascii="Times New Roman" w:hAnsi="Times New Roman" w:eastAsia="仿宋"/>
          <w:sz w:val="32"/>
          <w:szCs w:val="32"/>
        </w:rPr>
        <w:t>14.住房保障（类）住房改革支出（款）住房公积金（项）：指行政事业单位按人力资源和社会保障部、财政部规定的基本工资和津补贴以及规定比例为职工缴纳的住房公积金。</w:t>
      </w:r>
    </w:p>
    <w:p>
      <w:pPr>
        <w:spacing w:line="560" w:lineRule="exact"/>
        <w:ind w:firstLine="640" w:firstLineChars="200"/>
        <w:rPr>
          <w:rFonts w:eastAsia="仿宋"/>
          <w:sz w:val="32"/>
          <w:szCs w:val="32"/>
        </w:rPr>
      </w:pPr>
      <w:r>
        <w:rPr>
          <w:rFonts w:ascii="Times New Roman" w:hAnsi="Times New Roman" w:eastAsia="仿宋"/>
          <w:sz w:val="32"/>
          <w:szCs w:val="32"/>
        </w:rPr>
        <w:t>15.基本支出：指为保障机构正常运转、完成日常工作任务而发生的人员支出和公用支出。</w:t>
      </w:r>
    </w:p>
    <w:p>
      <w:pPr>
        <w:spacing w:line="560" w:lineRule="exact"/>
        <w:ind w:firstLine="640" w:firstLineChars="200"/>
        <w:rPr>
          <w:rFonts w:eastAsia="仿宋"/>
          <w:sz w:val="32"/>
          <w:szCs w:val="32"/>
        </w:rPr>
      </w:pPr>
      <w:r>
        <w:rPr>
          <w:rFonts w:ascii="Times New Roman" w:hAnsi="Times New Roman" w:eastAsia="仿宋"/>
          <w:sz w:val="32"/>
          <w:szCs w:val="32"/>
        </w:rPr>
        <w:t>16.项目支出：指在基本支出之外为完成特定行政任务和事业发展目标所发生的支出。</w:t>
      </w:r>
    </w:p>
    <w:p>
      <w:pPr>
        <w:spacing w:line="560" w:lineRule="exact"/>
        <w:ind w:firstLine="640" w:firstLineChars="200"/>
        <w:rPr>
          <w:rFonts w:eastAsia="仿宋"/>
          <w:sz w:val="32"/>
          <w:szCs w:val="32"/>
        </w:rPr>
      </w:pPr>
      <w:r>
        <w:rPr>
          <w:rFonts w:ascii="Times New Roman" w:hAnsi="Times New Roman" w:eastAsia="仿宋"/>
          <w:sz w:val="32"/>
          <w:szCs w:val="32"/>
        </w:rPr>
        <w:t>17.“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560" w:lineRule="exact"/>
        <w:ind w:firstLine="640" w:firstLineChars="200"/>
        <w:rPr>
          <w:rFonts w:eastAsia="仿宋"/>
          <w:sz w:val="32"/>
          <w:szCs w:val="32"/>
        </w:rPr>
      </w:pPr>
      <w:r>
        <w:rPr>
          <w:rFonts w:ascii="Times New Roman" w:hAnsi="Times New Roman" w:eastAsia="仿宋"/>
          <w:sz w:val="32"/>
          <w:szCs w:val="32"/>
        </w:rPr>
        <w:t>18.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60" w:lineRule="exact"/>
        <w:ind w:firstLine="643" w:firstLineChars="200"/>
        <w:rPr>
          <w:rFonts w:ascii="仿宋" w:hAnsi="仿宋" w:eastAsia="仿宋"/>
          <w:b/>
          <w:sz w:val="32"/>
          <w:szCs w:val="32"/>
        </w:rPr>
      </w:pPr>
      <w:r>
        <w:rPr>
          <w:rFonts w:hint="eastAsia" w:ascii="仿宋" w:hAnsi="仿宋" w:eastAsia="仿宋"/>
          <w:b/>
          <w:sz w:val="32"/>
          <w:szCs w:val="32"/>
        </w:rPr>
        <w:t>（名词解释部分请根据各部门实际列支情况罗列，并根据本部门职责职能增减名词解释内容。）</w:t>
      </w:r>
    </w:p>
    <w:p>
      <w:pPr>
        <w:spacing w:line="600" w:lineRule="exact"/>
        <w:jc w:val="center"/>
        <w:rPr>
          <w:rStyle w:val="30"/>
          <w:rFonts w:hint="eastAsia" w:ascii="Times New Roman" w:hAnsi="Times New Roman" w:eastAsia="黑体"/>
          <w:b w:val="0"/>
          <w:color w:val="auto"/>
          <w:highlight w:val="none"/>
          <w:lang w:eastAsia="zh-CN"/>
        </w:rPr>
      </w:pPr>
      <w:r>
        <w:rPr>
          <w:rFonts w:hint="eastAsia" w:ascii="Times New Roman" w:hAnsi="Times New Roman" w:eastAsia="仿宋_GB2312" w:cs="仿宋_GB2312"/>
          <w:color w:val="auto"/>
          <w:kern w:val="2"/>
          <w:sz w:val="32"/>
          <w:szCs w:val="32"/>
          <w:highlight w:val="none"/>
          <w:lang w:val="en-US" w:eastAsia="zh-CN" w:bidi="ar-SA"/>
        </w:rPr>
        <w:br w:type="page"/>
      </w:r>
      <w:bookmarkStart w:id="43"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3"/>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spacing w:line="600" w:lineRule="exact"/>
        <w:jc w:val="center"/>
        <w:rPr>
          <w:rFonts w:ascii="方正小标宋简体" w:hAnsi="方正小标宋简体" w:eastAsia="方正小标宋简体" w:cs="方正小标宋简体"/>
          <w:sz w:val="44"/>
          <w:szCs w:val="44"/>
        </w:rPr>
      </w:pPr>
      <w:bookmarkStart w:id="44" w:name="_Toc15396618"/>
      <w:r>
        <w:rPr>
          <w:rFonts w:ascii="方正小标宋简体" w:hAnsi="方正小标宋简体" w:eastAsia="方正小标宋简体" w:cs="方正小标宋简体"/>
          <w:bCs/>
          <w:sz w:val="44"/>
          <w:szCs w:val="44"/>
        </w:rPr>
        <w:t>中国农工民主党巴中市委员会</w:t>
      </w:r>
    </w:p>
    <w:p>
      <w:pPr>
        <w:spacing w:line="600" w:lineRule="exact"/>
        <w:jc w:val="center"/>
        <w:rPr>
          <w:rFonts w:eastAsia="方正仿宋简体"/>
          <w:sz w:val="44"/>
          <w:szCs w:val="44"/>
        </w:rPr>
      </w:pPr>
      <w:r>
        <w:rPr>
          <w:rFonts w:hint="eastAsia" w:ascii="方正小标宋简体" w:hAnsi="方正小标宋简体" w:eastAsia="方正小标宋简体" w:cs="方正小标宋简体"/>
          <w:bCs/>
          <w:sz w:val="44"/>
          <w:szCs w:val="44"/>
        </w:rPr>
        <w:t>关于2025年整体支出绩效评价的报告</w:t>
      </w:r>
    </w:p>
    <w:p>
      <w:pPr>
        <w:spacing w:line="560" w:lineRule="exact"/>
        <w:jc w:val="left"/>
        <w:rPr>
          <w:rFonts w:eastAsia="方正仿宋简体"/>
          <w:sz w:val="32"/>
          <w:szCs w:val="32"/>
        </w:rPr>
      </w:pPr>
    </w:p>
    <w:p>
      <w:pPr>
        <w:spacing w:line="560" w:lineRule="exact"/>
        <w:ind w:firstLine="640"/>
        <w:jc w:val="left"/>
        <w:rPr>
          <w:rFonts w:ascii="仿宋" w:hAnsi="仿宋" w:eastAsia="仿宋" w:cs="仿宋"/>
          <w:sz w:val="32"/>
          <w:szCs w:val="32"/>
        </w:rPr>
      </w:pPr>
      <w:r>
        <w:rPr>
          <w:rFonts w:hint="eastAsia" w:ascii="仿宋" w:hAnsi="仿宋" w:eastAsia="仿宋" w:cs="仿宋"/>
          <w:sz w:val="32"/>
          <w:szCs w:val="32"/>
        </w:rPr>
        <w:t>根据巴中市财政局《关于开展市级部门预算绩效自评工作的通知》（巴财监绩〔2026〕3号）要求，我单位对2025年整体支出绩效进行了自评，现将有关自评情况报告如下。</w:t>
      </w:r>
    </w:p>
    <w:p>
      <w:pPr>
        <w:spacing w:line="560" w:lineRule="exact"/>
        <w:ind w:firstLine="640"/>
        <w:jc w:val="left"/>
        <w:rPr>
          <w:rFonts w:ascii="黑体" w:hAnsi="黑体" w:eastAsia="黑体" w:cs="黑体"/>
          <w:sz w:val="32"/>
          <w:szCs w:val="32"/>
        </w:rPr>
      </w:pPr>
      <w:r>
        <w:rPr>
          <w:rFonts w:hint="eastAsia" w:ascii="黑体" w:hAnsi="黑体" w:eastAsia="黑体" w:cs="黑体"/>
          <w:sz w:val="32"/>
          <w:szCs w:val="32"/>
        </w:rPr>
        <w:t>一、基本情况</w:t>
      </w:r>
    </w:p>
    <w:p>
      <w:pPr>
        <w:pStyle w:val="9"/>
        <w:spacing w:line="560" w:lineRule="exact"/>
        <w:ind w:firstLine="643"/>
        <w:rPr>
          <w:rFonts w:ascii="楷体" w:hAnsi="楷体" w:eastAsia="楷体" w:cs="楷体"/>
          <w:b/>
          <w:bCs/>
          <w:sz w:val="32"/>
          <w:szCs w:val="32"/>
        </w:rPr>
      </w:pPr>
      <w:r>
        <w:rPr>
          <w:rFonts w:hint="eastAsia" w:ascii="楷体" w:hAnsi="楷体" w:eastAsia="楷体" w:cs="楷体"/>
          <w:b/>
          <w:bCs/>
          <w:sz w:val="32"/>
          <w:szCs w:val="32"/>
        </w:rPr>
        <w:t>（一）机构组成</w:t>
      </w:r>
    </w:p>
    <w:p>
      <w:pPr>
        <w:spacing w:line="560" w:lineRule="exact"/>
        <w:ind w:firstLine="640"/>
        <w:rPr>
          <w:rFonts w:ascii="仿宋" w:hAnsi="仿宋" w:eastAsia="仿宋" w:cs="仿宋"/>
          <w:sz w:val="32"/>
          <w:szCs w:val="32"/>
        </w:rPr>
      </w:pPr>
      <w:r>
        <w:rPr>
          <w:rFonts w:ascii="仿宋" w:hAnsi="仿宋" w:eastAsia="仿宋" w:cs="仿宋"/>
          <w:bCs/>
          <w:sz w:val="32"/>
          <w:szCs w:val="32"/>
        </w:rPr>
        <w:t>中国农工民主党巴中市委员会</w:t>
      </w:r>
      <w:r>
        <w:rPr>
          <w:rFonts w:hint="eastAsia" w:ascii="仿宋" w:hAnsi="仿宋" w:eastAsia="仿宋" w:cs="仿宋"/>
          <w:sz w:val="32"/>
          <w:szCs w:val="32"/>
        </w:rPr>
        <w:t>系市政府工作部门。根据“三定方案”，机关内设科室3个（</w:t>
      </w:r>
      <w:r>
        <w:rPr>
          <w:rFonts w:hint="eastAsia" w:ascii="仿宋" w:hAnsi="仿宋" w:eastAsia="仿宋"/>
          <w:sz w:val="32"/>
          <w:szCs w:val="32"/>
        </w:rPr>
        <w:t>办公室、组织宣传科、咨询服务科</w:t>
      </w:r>
      <w:r>
        <w:rPr>
          <w:rFonts w:hint="eastAsia" w:ascii="仿宋" w:hAnsi="仿宋" w:eastAsia="仿宋" w:cs="仿宋"/>
          <w:sz w:val="32"/>
          <w:szCs w:val="32"/>
        </w:rPr>
        <w:t>）。</w:t>
      </w:r>
    </w:p>
    <w:p>
      <w:pPr>
        <w:pStyle w:val="9"/>
        <w:spacing w:line="560" w:lineRule="exact"/>
        <w:ind w:firstLine="643"/>
        <w:rPr>
          <w:rFonts w:ascii="楷体" w:hAnsi="楷体" w:eastAsia="楷体" w:cs="楷体"/>
          <w:b/>
          <w:bCs/>
          <w:sz w:val="32"/>
          <w:szCs w:val="32"/>
        </w:rPr>
      </w:pPr>
      <w:r>
        <w:rPr>
          <w:rFonts w:hint="eastAsia" w:ascii="楷体" w:hAnsi="楷体" w:eastAsia="楷体" w:cs="楷体"/>
          <w:b/>
          <w:bCs/>
          <w:sz w:val="32"/>
          <w:szCs w:val="32"/>
        </w:rPr>
        <w:t>（二）机构职能</w:t>
      </w:r>
    </w:p>
    <w:p>
      <w:pPr>
        <w:spacing w:line="520" w:lineRule="exact"/>
        <w:ind w:firstLine="640"/>
        <w:jc w:val="left"/>
        <w:rPr>
          <w:rFonts w:ascii="仿宋" w:hAnsi="仿宋" w:eastAsia="仿宋"/>
          <w:sz w:val="32"/>
          <w:szCs w:val="32"/>
        </w:rPr>
      </w:pPr>
      <w:bookmarkStart w:id="45" w:name="_Toc15378445"/>
      <w:bookmarkStart w:id="46" w:name="_Toc15377198"/>
      <w:r>
        <w:rPr>
          <w:rFonts w:hint="eastAsia" w:ascii="仿宋" w:hAnsi="仿宋" w:eastAsia="仿宋"/>
          <w:sz w:val="32"/>
          <w:szCs w:val="32"/>
        </w:rPr>
        <w:t>中国农工民主党是以医药卫生、人口资源和生态环境领域高中级知识分子为主，由一部分社会主义劳动者、社会主义事业建设者和拥护社会主义的爱国者组成的政治联盟，是接受中国共产党领导、同中国共产党通力合作的亲密友党，是致力于中国特色社会主义事业的参政党。</w:t>
      </w:r>
    </w:p>
    <w:p>
      <w:pPr>
        <w:spacing w:line="520" w:lineRule="exact"/>
        <w:ind w:firstLine="640"/>
        <w:jc w:val="left"/>
        <w:rPr>
          <w:rFonts w:ascii="仿宋" w:hAnsi="仿宋" w:eastAsia="仿宋"/>
          <w:sz w:val="32"/>
          <w:szCs w:val="32"/>
        </w:rPr>
      </w:pPr>
      <w:r>
        <w:rPr>
          <w:rFonts w:hint="eastAsia" w:ascii="仿宋" w:hAnsi="仿宋" w:eastAsia="仿宋"/>
          <w:sz w:val="32"/>
          <w:szCs w:val="32"/>
        </w:rPr>
        <w:t>中国农工民主党在国家政治生活中履行参政党职能，参加国家政权，参与国家大政方针和国家领导人选的协商，参与国家事务的管理，参与国家方针、政策、法律、法规的制定和执行，发挥参政议政、民主监督的作用。</w:t>
      </w:r>
    </w:p>
    <w:p>
      <w:pPr>
        <w:pStyle w:val="9"/>
        <w:spacing w:line="560" w:lineRule="exact"/>
        <w:ind w:firstLine="643"/>
        <w:rPr>
          <w:rFonts w:ascii="楷体" w:hAnsi="楷体" w:eastAsia="楷体" w:cs="楷体"/>
          <w:b/>
          <w:bCs/>
          <w:sz w:val="32"/>
          <w:szCs w:val="32"/>
        </w:rPr>
      </w:pPr>
      <w:r>
        <w:rPr>
          <w:rFonts w:hint="eastAsia" w:ascii="楷体" w:hAnsi="楷体" w:eastAsia="楷体" w:cs="楷体"/>
          <w:b/>
          <w:bCs/>
          <w:sz w:val="32"/>
          <w:szCs w:val="32"/>
        </w:rPr>
        <w:t>（三）人员概况</w:t>
      </w:r>
    </w:p>
    <w:p>
      <w:pPr>
        <w:spacing w:line="520" w:lineRule="exact"/>
        <w:ind w:firstLine="640"/>
        <w:jc w:val="left"/>
        <w:rPr>
          <w:rFonts w:ascii="仿宋" w:hAnsi="仿宋" w:eastAsia="仿宋"/>
          <w:sz w:val="32"/>
          <w:szCs w:val="32"/>
        </w:rPr>
      </w:pPr>
      <w:r>
        <w:rPr>
          <w:rFonts w:hint="eastAsia" w:ascii="仿宋" w:hAnsi="仿宋" w:eastAsia="仿宋" w:cs="仿宋"/>
          <w:sz w:val="32"/>
          <w:szCs w:val="32"/>
        </w:rPr>
        <w:t>截至2025年末，</w:t>
      </w:r>
      <w:r>
        <w:rPr>
          <w:rFonts w:ascii="仿宋" w:hAnsi="仿宋" w:eastAsia="仿宋" w:cs="仿宋"/>
          <w:bCs/>
          <w:sz w:val="32"/>
          <w:szCs w:val="32"/>
        </w:rPr>
        <w:t>中国农工民主党巴中市委员会</w:t>
      </w:r>
      <w:r>
        <w:rPr>
          <w:rFonts w:hint="eastAsia" w:ascii="仿宋" w:hAnsi="仿宋" w:eastAsia="仿宋" w:cs="仿宋"/>
          <w:sz w:val="32"/>
          <w:szCs w:val="32"/>
        </w:rPr>
        <w:t>编制数5个，</w:t>
      </w:r>
      <w:r>
        <w:rPr>
          <w:rFonts w:hint="eastAsia" w:ascii="仿宋" w:hAnsi="仿宋" w:eastAsia="仿宋"/>
          <w:sz w:val="32"/>
          <w:szCs w:val="32"/>
        </w:rPr>
        <w:t>行编4个、行政工勤编制1个；实有在职职工5人。</w:t>
      </w:r>
      <w:bookmarkEnd w:id="45"/>
      <w:bookmarkEnd w:id="46"/>
    </w:p>
    <w:p>
      <w:pPr>
        <w:spacing w:line="560" w:lineRule="exact"/>
        <w:ind w:firstLine="640"/>
        <w:rPr>
          <w:rFonts w:ascii="黑体" w:hAnsi="黑体" w:eastAsia="黑体" w:cs="黑体"/>
          <w:sz w:val="32"/>
          <w:szCs w:val="32"/>
        </w:rPr>
      </w:pPr>
      <w:r>
        <w:rPr>
          <w:rFonts w:hint="eastAsia" w:ascii="黑体" w:hAnsi="黑体" w:eastAsia="黑体" w:cs="黑体"/>
          <w:sz w:val="32"/>
          <w:szCs w:val="32"/>
        </w:rPr>
        <w:t>二、财政资金收支情况</w:t>
      </w:r>
    </w:p>
    <w:p>
      <w:pPr>
        <w:spacing w:line="560" w:lineRule="exact"/>
        <w:ind w:firstLine="643"/>
        <w:rPr>
          <w:rFonts w:ascii="楷体" w:hAnsi="楷体" w:eastAsia="楷体" w:cs="楷体"/>
          <w:b/>
          <w:bCs/>
          <w:sz w:val="32"/>
          <w:szCs w:val="32"/>
        </w:rPr>
      </w:pPr>
      <w:r>
        <w:rPr>
          <w:rFonts w:hint="eastAsia" w:ascii="楷体" w:hAnsi="楷体" w:eastAsia="楷体" w:cs="楷体"/>
          <w:b/>
          <w:bCs/>
          <w:sz w:val="32"/>
          <w:szCs w:val="32"/>
        </w:rPr>
        <w:t>（一）部门财政资金收入情况</w:t>
      </w:r>
    </w:p>
    <w:p>
      <w:pPr>
        <w:spacing w:line="560" w:lineRule="exact"/>
        <w:ind w:firstLine="640"/>
        <w:outlineLvl w:val="1"/>
        <w:rPr>
          <w:rFonts w:ascii="仿宋" w:hAnsi="仿宋" w:eastAsia="仿宋" w:cs="仿宋"/>
          <w:bCs/>
          <w:sz w:val="32"/>
          <w:szCs w:val="32"/>
        </w:rPr>
      </w:pPr>
      <w:r>
        <w:rPr>
          <w:rFonts w:hint="eastAsia" w:ascii="仿宋" w:hAnsi="仿宋" w:eastAsia="仿宋" w:cs="仿宋"/>
          <w:sz w:val="32"/>
          <w:szCs w:val="32"/>
        </w:rPr>
        <w:t>2025年预算收入140.72万元</w:t>
      </w:r>
      <w:r>
        <w:rPr>
          <w:rFonts w:hint="eastAsia" w:ascii="仿宋" w:hAnsi="仿宋" w:eastAsia="仿宋" w:cs="仿宋"/>
          <w:bCs/>
          <w:sz w:val="32"/>
          <w:szCs w:val="32"/>
        </w:rPr>
        <w:t>，与2024年相比增加6.67万元，增加4.7%，预算增加主要是</w:t>
      </w:r>
      <w:r>
        <w:rPr>
          <w:rFonts w:hint="eastAsia" w:ascii="仿宋" w:hAnsi="仿宋" w:eastAsia="仿宋" w:cs="仿宋"/>
          <w:sz w:val="32"/>
          <w:szCs w:val="32"/>
        </w:rPr>
        <w:t>人员工资调资</w:t>
      </w:r>
      <w:r>
        <w:rPr>
          <w:rFonts w:hint="eastAsia" w:ascii="仿宋" w:hAnsi="仿宋" w:eastAsia="仿宋" w:cs="仿宋"/>
          <w:bCs/>
          <w:sz w:val="32"/>
          <w:szCs w:val="32"/>
        </w:rPr>
        <w:t>。</w:t>
      </w:r>
      <w:r>
        <w:rPr>
          <w:rFonts w:hint="eastAsia" w:ascii="仿宋" w:hAnsi="仿宋" w:eastAsia="仿宋" w:cs="仿宋"/>
          <w:sz w:val="32"/>
          <w:szCs w:val="32"/>
        </w:rPr>
        <w:t>其中：一般公共财政预算收入</w:t>
      </w:r>
      <w:r>
        <w:rPr>
          <w:rFonts w:hint="eastAsia" w:ascii="仿宋" w:hAnsi="仿宋" w:eastAsia="仿宋" w:cs="仿宋"/>
          <w:bCs/>
          <w:sz w:val="32"/>
          <w:szCs w:val="32"/>
        </w:rPr>
        <w:t>140.72</w:t>
      </w:r>
      <w:r>
        <w:rPr>
          <w:rFonts w:hint="eastAsia" w:ascii="仿宋" w:hAnsi="仿宋" w:eastAsia="仿宋" w:cs="仿宋"/>
          <w:sz w:val="32"/>
          <w:szCs w:val="32"/>
        </w:rPr>
        <w:t>万元</w:t>
      </w:r>
      <w:r>
        <w:rPr>
          <w:rFonts w:hint="eastAsia" w:ascii="仿宋" w:hAnsi="仿宋" w:eastAsia="仿宋" w:cs="仿宋"/>
          <w:bCs/>
          <w:sz w:val="32"/>
          <w:szCs w:val="32"/>
        </w:rPr>
        <w:t>，占100%。</w:t>
      </w:r>
    </w:p>
    <w:p>
      <w:pPr>
        <w:spacing w:line="560" w:lineRule="exact"/>
        <w:ind w:firstLine="640"/>
        <w:rPr>
          <w:rFonts w:ascii="仿宋" w:hAnsi="仿宋" w:eastAsia="仿宋" w:cs="仿宋"/>
          <w:sz w:val="32"/>
          <w:szCs w:val="32"/>
        </w:rPr>
      </w:pPr>
      <w:r>
        <w:rPr>
          <w:rFonts w:hint="eastAsia" w:ascii="仿宋" w:hAnsi="仿宋" w:eastAsia="仿宋" w:cs="仿宋"/>
          <w:sz w:val="32"/>
          <w:szCs w:val="32"/>
        </w:rPr>
        <w:t>2025年本年收入年初预算数为127.35万元，决算数为140.72万元，决算数比年初预算数增加13.37万元。</w:t>
      </w:r>
    </w:p>
    <w:p>
      <w:pPr>
        <w:pStyle w:val="9"/>
        <w:spacing w:line="560" w:lineRule="exact"/>
        <w:ind w:firstLine="643"/>
        <w:rPr>
          <w:rFonts w:ascii="楷体" w:hAnsi="楷体" w:eastAsia="楷体" w:cs="楷体"/>
          <w:b/>
          <w:bCs/>
          <w:sz w:val="32"/>
          <w:szCs w:val="32"/>
        </w:rPr>
      </w:pPr>
      <w:r>
        <w:rPr>
          <w:rFonts w:hint="eastAsia" w:ascii="楷体" w:hAnsi="楷体" w:eastAsia="楷体" w:cs="楷体"/>
          <w:b/>
          <w:bCs/>
          <w:sz w:val="32"/>
          <w:szCs w:val="32"/>
        </w:rPr>
        <w:t>（二）部门财政资金支出情况</w:t>
      </w:r>
    </w:p>
    <w:p>
      <w:pPr>
        <w:spacing w:line="560" w:lineRule="exact"/>
        <w:ind w:firstLine="640"/>
        <w:rPr>
          <w:rFonts w:ascii="仿宋" w:hAnsi="仿宋" w:eastAsia="仿宋" w:cs="仿宋"/>
          <w:sz w:val="32"/>
          <w:szCs w:val="32"/>
        </w:rPr>
      </w:pPr>
      <w:r>
        <w:rPr>
          <w:rFonts w:hint="eastAsia" w:ascii="仿宋" w:hAnsi="仿宋" w:eastAsia="仿宋" w:cs="仿宋"/>
          <w:sz w:val="32"/>
          <w:szCs w:val="32"/>
        </w:rPr>
        <w:t>全年财政预算总支出</w:t>
      </w:r>
      <w:r>
        <w:rPr>
          <w:rFonts w:hint="eastAsia" w:ascii="仿宋" w:hAnsi="仿宋" w:eastAsia="仿宋" w:cs="仿宋"/>
          <w:bCs/>
          <w:sz w:val="32"/>
          <w:szCs w:val="32"/>
        </w:rPr>
        <w:t>140.72</w:t>
      </w:r>
      <w:r>
        <w:rPr>
          <w:rFonts w:hint="eastAsia" w:ascii="仿宋" w:hAnsi="仿宋" w:eastAsia="仿宋" w:cs="仿宋"/>
          <w:sz w:val="32"/>
          <w:szCs w:val="32"/>
        </w:rPr>
        <w:t>万元，其中：一般公共预算支出140.72万元。按支出功能分类：基本支出105.50万元，其中人员经费93.64万元，日常公用经费11.86万元；项目支出预算35.22万元。</w:t>
      </w:r>
    </w:p>
    <w:p>
      <w:pPr>
        <w:pStyle w:val="5"/>
        <w:spacing w:before="0" w:beforeAutospacing="0" w:after="0" w:afterAutospacing="0" w:line="600" w:lineRule="exact"/>
        <w:ind w:firstLine="640"/>
        <w:jc w:val="both"/>
        <w:rPr>
          <w:rFonts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年项目预算支出35.22万元，其中：其它运转类项目4个4.39万元，主要用于食堂运转经费、职工体检费2.5万元，福利费0.6万元，工会经费0.8万元</w:t>
      </w:r>
      <w:r>
        <w:rPr>
          <w:rFonts w:hint="eastAsia" w:ascii="仿宋" w:hAnsi="仿宋" w:eastAsia="仿宋" w:cs="仿宋"/>
          <w:spacing w:val="-1"/>
          <w:sz w:val="32"/>
          <w:szCs w:val="32"/>
        </w:rPr>
        <w:t>，党建工作经费0.5万元</w:t>
      </w:r>
      <w:r>
        <w:rPr>
          <w:rFonts w:hint="eastAsia" w:ascii="仿宋" w:hAnsi="仿宋" w:eastAsia="仿宋" w:cs="仿宋"/>
          <w:sz w:val="32"/>
          <w:szCs w:val="32"/>
        </w:rPr>
        <w:t>；特定目标类项目2个30.83万元，</w:t>
      </w:r>
      <w:r>
        <w:rPr>
          <w:rFonts w:ascii="仿宋" w:hAnsi="仿宋" w:eastAsia="仿宋" w:cs="仿宋"/>
          <w:sz w:val="32"/>
          <w:szCs w:val="32"/>
        </w:rPr>
        <w:t>市农工市委学习考察及基层调研经费</w:t>
      </w:r>
      <w:r>
        <w:rPr>
          <w:rFonts w:hint="eastAsia" w:ascii="仿宋" w:hAnsi="仿宋" w:eastAsia="仿宋" w:cs="仿宋"/>
          <w:sz w:val="32"/>
          <w:szCs w:val="32"/>
        </w:rPr>
        <w:t>，主要用于</w:t>
      </w:r>
      <w:r>
        <w:rPr>
          <w:rFonts w:ascii="仿宋" w:hAnsi="仿宋" w:eastAsia="仿宋" w:cs="仿宋"/>
          <w:sz w:val="32"/>
          <w:szCs w:val="32"/>
        </w:rPr>
        <w:t>农工党市委学习考察及基层调研经费</w:t>
      </w:r>
      <w:r>
        <w:rPr>
          <w:rFonts w:hint="eastAsia" w:ascii="仿宋" w:hAnsi="仿宋" w:eastAsia="仿宋" w:cs="仿宋"/>
          <w:bCs/>
          <w:sz w:val="32"/>
          <w:szCs w:val="32"/>
        </w:rPr>
        <w:t>项目支出，</w:t>
      </w:r>
      <w:r>
        <w:rPr>
          <w:rFonts w:ascii="仿宋" w:hAnsi="仿宋" w:eastAsia="仿宋" w:cs="仿宋"/>
          <w:bCs/>
          <w:sz w:val="32"/>
          <w:szCs w:val="32"/>
        </w:rPr>
        <w:t>残疾助困专项补助</w:t>
      </w:r>
      <w:r>
        <w:rPr>
          <w:rFonts w:hint="eastAsia" w:ascii="仿宋" w:hAnsi="仿宋" w:eastAsia="仿宋" w:cs="仿宋"/>
          <w:bCs/>
          <w:sz w:val="32"/>
          <w:szCs w:val="32"/>
        </w:rPr>
        <w:t>经费，主要用于残疾人就业率提升、生活质量改善、社会助残氛围。</w:t>
      </w:r>
    </w:p>
    <w:p>
      <w:pPr>
        <w:spacing w:line="600" w:lineRule="exact"/>
        <w:ind w:firstLine="643"/>
        <w:rPr>
          <w:rFonts w:ascii="楷体" w:hAnsi="楷体" w:eastAsia="楷体" w:cs="楷体"/>
          <w:b/>
          <w:bCs/>
          <w:sz w:val="32"/>
          <w:szCs w:val="32"/>
        </w:rPr>
      </w:pPr>
      <w:r>
        <w:rPr>
          <w:rFonts w:hint="eastAsia" w:ascii="楷体" w:hAnsi="楷体" w:eastAsia="楷体" w:cs="楷体"/>
          <w:b/>
          <w:bCs/>
          <w:sz w:val="32"/>
          <w:szCs w:val="32"/>
        </w:rPr>
        <w:t>（三）结余分配和结转结余情况。</w:t>
      </w:r>
    </w:p>
    <w:p>
      <w:pPr>
        <w:spacing w:line="600" w:lineRule="exact"/>
        <w:ind w:firstLine="640"/>
        <w:rPr>
          <w:rFonts w:ascii="仿宋" w:hAnsi="仿宋" w:eastAsia="仿宋" w:cs="仿宋"/>
          <w:bCs/>
          <w:sz w:val="32"/>
          <w:szCs w:val="32"/>
        </w:rPr>
      </w:pPr>
      <w:r>
        <w:rPr>
          <w:rFonts w:hint="eastAsia" w:ascii="仿宋" w:hAnsi="仿宋" w:eastAsia="仿宋" w:cs="仿宋"/>
          <w:bCs/>
          <w:sz w:val="32"/>
          <w:szCs w:val="32"/>
        </w:rPr>
        <w:t>市农工党市委部门2025年年初结转结余0万元。年末结转结余0万元，主要是全面实现支付，无年终结余，支付率达100%。</w:t>
      </w:r>
    </w:p>
    <w:p>
      <w:pPr>
        <w:spacing w:line="600" w:lineRule="exact"/>
        <w:ind w:firstLine="640"/>
        <w:rPr>
          <w:rFonts w:ascii="黑体" w:hAnsi="黑体" w:eastAsia="黑体" w:cs="黑体"/>
          <w:sz w:val="32"/>
          <w:szCs w:val="32"/>
        </w:rPr>
      </w:pPr>
      <w:r>
        <w:rPr>
          <w:rFonts w:hint="eastAsia" w:ascii="黑体" w:hAnsi="黑体" w:eastAsia="黑体" w:cs="黑体"/>
          <w:sz w:val="32"/>
          <w:szCs w:val="32"/>
        </w:rPr>
        <w:t>三、部门预算绩效分析</w:t>
      </w:r>
    </w:p>
    <w:p>
      <w:pPr>
        <w:spacing w:line="600" w:lineRule="exact"/>
        <w:ind w:firstLine="643"/>
        <w:rPr>
          <w:rFonts w:ascii="楷体" w:hAnsi="楷体" w:eastAsia="楷体" w:cs="楷体"/>
          <w:b/>
          <w:bCs/>
          <w:sz w:val="32"/>
          <w:szCs w:val="32"/>
        </w:rPr>
      </w:pPr>
      <w:r>
        <w:rPr>
          <w:rFonts w:hint="eastAsia" w:ascii="楷体" w:hAnsi="楷体" w:eastAsia="楷体" w:cs="楷体"/>
          <w:b/>
          <w:bCs/>
          <w:sz w:val="32"/>
          <w:szCs w:val="32"/>
        </w:rPr>
        <w:t>（一）部门预算总体绩效分析</w:t>
      </w:r>
    </w:p>
    <w:p>
      <w:pPr>
        <w:spacing w:line="560" w:lineRule="exact"/>
        <w:ind w:firstLine="643"/>
        <w:rPr>
          <w:rFonts w:ascii="仿宋" w:hAnsi="仿宋" w:eastAsia="仿宋" w:cs="仿宋"/>
          <w:b/>
          <w:sz w:val="32"/>
          <w:szCs w:val="32"/>
        </w:rPr>
      </w:pPr>
      <w:r>
        <w:rPr>
          <w:rFonts w:hint="eastAsia" w:ascii="仿宋" w:hAnsi="仿宋" w:eastAsia="仿宋" w:cs="仿宋"/>
          <w:b/>
          <w:sz w:val="32"/>
          <w:szCs w:val="32"/>
        </w:rPr>
        <w:t>1.履职效能</w:t>
      </w:r>
    </w:p>
    <w:p>
      <w:pPr>
        <w:spacing w:line="540" w:lineRule="exact"/>
        <w:ind w:firstLine="624" w:firstLineChars="195"/>
        <w:rPr>
          <w:rFonts w:ascii="仿宋" w:hAnsi="仿宋" w:eastAsia="仿宋"/>
          <w:bCs/>
          <w:sz w:val="32"/>
          <w:szCs w:val="36"/>
        </w:rPr>
      </w:pPr>
      <w:r>
        <w:rPr>
          <w:rFonts w:hint="eastAsia" w:ascii="仿宋" w:hAnsi="仿宋" w:eastAsia="仿宋" w:cs="仿宋_GB2312"/>
          <w:bCs/>
          <w:sz w:val="32"/>
          <w:szCs w:val="36"/>
        </w:rPr>
        <w:t>2025年，农工党巴中市委会在农工党四川省委和中共巴中市委的坚强领导下，在市委统战部的关心指导下，坚持以习近平新时代中国特色社会主义思想为指引，深入学习贯彻中共二十大和二十届二中、三中、四中全会精神，认真落实农工党十七大、中共四川省委十二届七次全会和中共巴中市委五届十次全会精神，团结带领全市各基层组织和广大党员，紧扣“健康巴中”和“美丽巴中”两条工作主线，积极履职尽责，强化自身建设，各项工作取得一定成效。</w:t>
      </w:r>
    </w:p>
    <w:p>
      <w:pPr>
        <w:spacing w:line="540" w:lineRule="exact"/>
        <w:rPr>
          <w:rFonts w:ascii="华文仿宋" w:hAnsi="华文仿宋" w:eastAsia="华文仿宋"/>
          <w:b/>
          <w:bCs/>
          <w:sz w:val="32"/>
          <w:szCs w:val="36"/>
        </w:rPr>
      </w:pPr>
      <w:r>
        <w:rPr>
          <w:rFonts w:hint="eastAsia" w:ascii="华文仿宋" w:hAnsi="华文仿宋" w:eastAsia="华文仿宋"/>
          <w:b/>
          <w:bCs/>
          <w:sz w:val="32"/>
          <w:szCs w:val="36"/>
        </w:rPr>
        <w:t xml:space="preserve">    (1)</w:t>
      </w:r>
      <w:r>
        <w:rPr>
          <w:rFonts w:ascii="华文仿宋" w:hAnsi="华文仿宋" w:eastAsia="华文仿宋"/>
          <w:b/>
          <w:bCs/>
          <w:sz w:val="32"/>
          <w:szCs w:val="36"/>
        </w:rPr>
        <w:t>筑牢思想根基，凝聚政治共识，夯实多党合作思想政治基础</w:t>
      </w:r>
    </w:p>
    <w:p>
      <w:pPr>
        <w:widowControl/>
        <w:spacing w:line="540" w:lineRule="exact"/>
        <w:ind w:firstLine="643" w:firstLineChars="200"/>
        <w:jc w:val="left"/>
        <w:rPr>
          <w:rFonts w:ascii="仿宋" w:hAnsi="仿宋" w:eastAsia="仿宋" w:cs="仿宋_GB2312"/>
          <w:bCs/>
          <w:sz w:val="32"/>
          <w:szCs w:val="36"/>
        </w:rPr>
      </w:pPr>
      <w:r>
        <w:rPr>
          <w:rFonts w:hint="eastAsia" w:ascii="仿宋" w:hAnsi="仿宋" w:eastAsia="仿宋"/>
          <w:b/>
          <w:sz w:val="32"/>
          <w:szCs w:val="36"/>
        </w:rPr>
        <w:t>一是深化理论武装体系建设。</w:t>
      </w:r>
      <w:r>
        <w:rPr>
          <w:rFonts w:hint="eastAsia" w:ascii="仿宋" w:hAnsi="仿宋" w:eastAsia="仿宋" w:cs="仿宋_GB2312"/>
          <w:bCs/>
          <w:sz w:val="32"/>
          <w:szCs w:val="36"/>
        </w:rPr>
        <w:t>将学习贯彻习近平新时代中国特色社会主义思想作为首要政治任务，忠诚拥护“两个确立”，坚决做到“两个维护”，时刻牢记“三个务必”。严格落实“第一议题”制度，构建“中心组引领学、基层组织集中学、党员自主学”三级学习体系。以理论学习中心组为主，围绕习近平总书记重要讲话精神及中央、省、市委全会部署开展专题研讨，全年组织中央、省、市委全会精神专题学习9次，各类理论研讨活动20余次，推动党员深刻领悟“两个确立”的决定性意义，切实把学习成效转化为履职实效。</w:t>
      </w:r>
    </w:p>
    <w:p>
      <w:pPr>
        <w:widowControl/>
        <w:spacing w:line="540" w:lineRule="exact"/>
        <w:ind w:firstLine="643" w:firstLineChars="200"/>
        <w:rPr>
          <w:rFonts w:ascii="仿宋" w:hAnsi="仿宋" w:eastAsia="仿宋" w:cs="仿宋_GB2312"/>
          <w:bCs/>
          <w:sz w:val="32"/>
          <w:szCs w:val="36"/>
        </w:rPr>
      </w:pPr>
      <w:r>
        <w:rPr>
          <w:rFonts w:hint="eastAsia" w:ascii="仿宋" w:hAnsi="仿宋" w:eastAsia="仿宋"/>
          <w:b/>
          <w:sz w:val="32"/>
          <w:szCs w:val="36"/>
        </w:rPr>
        <w:t>二是抓实主题教育成果转化</w:t>
      </w:r>
      <w:r>
        <w:rPr>
          <w:rFonts w:ascii="仿宋" w:hAnsi="仿宋" w:eastAsia="仿宋"/>
          <w:b/>
          <w:sz w:val="32"/>
          <w:szCs w:val="36"/>
        </w:rPr>
        <w:t>。</w:t>
      </w:r>
      <w:r>
        <w:rPr>
          <w:rFonts w:hint="eastAsia" w:ascii="仿宋" w:hAnsi="仿宋" w:eastAsia="仿宋" w:cs="仿宋_GB2312"/>
          <w:bCs/>
          <w:sz w:val="32"/>
          <w:szCs w:val="36"/>
        </w:rPr>
        <w:t>按照农工党中央、省委会的要求深入开展“学规定、强作风、树形象”教育，成立主委为组长领导机构，结合市委会实际制定方案，召开动员会对全市农工党组织开展主题教育作出安排部署。市委会及各基层组织深入开展主题教育动员会、专题学习会等10次，</w:t>
      </w:r>
      <w:r>
        <w:rPr>
          <w:rFonts w:ascii="仿宋" w:hAnsi="仿宋" w:eastAsia="仿宋" w:cs="仿宋_GB2312"/>
          <w:bCs/>
          <w:sz w:val="32"/>
          <w:szCs w:val="36"/>
        </w:rPr>
        <w:t>举办读书班1期，理论学习中心组开展专题学习2次，组织网络学习4场次</w:t>
      </w:r>
      <w:r>
        <w:rPr>
          <w:rFonts w:hint="eastAsia" w:ascii="仿宋" w:hAnsi="仿宋" w:eastAsia="仿宋" w:cs="仿宋_GB2312"/>
          <w:bCs/>
          <w:sz w:val="32"/>
          <w:szCs w:val="36"/>
        </w:rPr>
        <w:t>，</w:t>
      </w:r>
      <w:r>
        <w:rPr>
          <w:rFonts w:ascii="仿宋" w:hAnsi="仿宋" w:eastAsia="仿宋" w:cs="仿宋_GB2312"/>
          <w:bCs/>
          <w:sz w:val="32"/>
          <w:szCs w:val="36"/>
        </w:rPr>
        <w:t>发放主题教育读本</w:t>
      </w:r>
      <w:r>
        <w:rPr>
          <w:rFonts w:hint="eastAsia" w:ascii="仿宋" w:hAnsi="仿宋" w:eastAsia="仿宋" w:cs="仿宋_GB2312"/>
          <w:bCs/>
          <w:sz w:val="32"/>
          <w:szCs w:val="36"/>
        </w:rPr>
        <w:t>300</w:t>
      </w:r>
      <w:r>
        <w:rPr>
          <w:rFonts w:ascii="仿宋" w:hAnsi="仿宋" w:eastAsia="仿宋" w:cs="仿宋_GB2312"/>
          <w:bCs/>
          <w:sz w:val="32"/>
          <w:szCs w:val="36"/>
        </w:rPr>
        <w:t>本</w:t>
      </w:r>
      <w:r>
        <w:rPr>
          <w:rFonts w:hint="eastAsia" w:ascii="仿宋" w:hAnsi="仿宋" w:eastAsia="仿宋" w:cs="仿宋_GB2312"/>
          <w:bCs/>
          <w:sz w:val="32"/>
          <w:szCs w:val="36"/>
        </w:rPr>
        <w:t>，推送主题教育专题学习等微信公众号信息16期。推动主题教育融入日常、抓在经常。</w:t>
      </w:r>
    </w:p>
    <w:p>
      <w:pPr>
        <w:spacing w:line="540" w:lineRule="exact"/>
        <w:ind w:firstLine="643" w:firstLineChars="200"/>
        <w:rPr>
          <w:rFonts w:ascii="仿宋" w:hAnsi="仿宋" w:eastAsia="仿宋"/>
        </w:rPr>
      </w:pPr>
      <w:r>
        <w:rPr>
          <w:rFonts w:hint="eastAsia" w:ascii="仿宋" w:hAnsi="仿宋" w:eastAsia="仿宋"/>
          <w:b/>
          <w:bCs/>
          <w:sz w:val="32"/>
          <w:szCs w:val="36"/>
        </w:rPr>
        <w:t>三是提升理论研究质量效能</w:t>
      </w:r>
      <w:r>
        <w:rPr>
          <w:rFonts w:ascii="仿宋" w:hAnsi="仿宋" w:eastAsia="仿宋"/>
          <w:b/>
          <w:bCs/>
          <w:sz w:val="32"/>
          <w:szCs w:val="36"/>
        </w:rPr>
        <w:t>。</w:t>
      </w:r>
      <w:r>
        <w:rPr>
          <w:rFonts w:ascii="仿宋" w:hAnsi="仿宋" w:eastAsia="仿宋"/>
          <w:sz w:val="32"/>
          <w:szCs w:val="36"/>
        </w:rPr>
        <w:t>不断提升用中国化时代化马克思主义武装头脑、指导实践、推动工作的能力和水平。充分发挥党史与理论研究委员会和骨干党员的作用，组织开展理论研究，努力把准历史发展大势和新时代中国特色社会主义参政党建设规律</w:t>
      </w:r>
      <w:r>
        <w:rPr>
          <w:rFonts w:hint="eastAsia" w:ascii="仿宋" w:hAnsi="仿宋" w:eastAsia="仿宋"/>
          <w:sz w:val="32"/>
          <w:szCs w:val="36"/>
        </w:rPr>
        <w:t>，</w:t>
      </w:r>
      <w:r>
        <w:rPr>
          <w:rFonts w:ascii="仿宋" w:hAnsi="仿宋" w:eastAsia="仿宋"/>
          <w:sz w:val="32"/>
          <w:szCs w:val="36"/>
        </w:rPr>
        <w:t>理论成果实现数量质量双提升。市委会向省委会上报理论文章</w:t>
      </w:r>
      <w:r>
        <w:rPr>
          <w:rFonts w:hint="eastAsia" w:ascii="仿宋" w:hAnsi="仿宋" w:eastAsia="仿宋"/>
          <w:sz w:val="32"/>
          <w:szCs w:val="36"/>
        </w:rPr>
        <w:t>5</w:t>
      </w:r>
      <w:r>
        <w:rPr>
          <w:rFonts w:ascii="仿宋" w:hAnsi="仿宋" w:eastAsia="仿宋"/>
          <w:sz w:val="32"/>
          <w:szCs w:val="36"/>
        </w:rPr>
        <w:t>篇，向</w:t>
      </w:r>
      <w:r>
        <w:rPr>
          <w:rFonts w:hint="eastAsia" w:ascii="仿宋" w:hAnsi="仿宋" w:eastAsia="仿宋"/>
          <w:sz w:val="32"/>
          <w:szCs w:val="36"/>
        </w:rPr>
        <w:t>市政协、</w:t>
      </w:r>
      <w:r>
        <w:rPr>
          <w:rFonts w:ascii="仿宋" w:hAnsi="仿宋" w:eastAsia="仿宋"/>
          <w:sz w:val="32"/>
          <w:szCs w:val="36"/>
        </w:rPr>
        <w:t>市委统战部提交理论政策研究创新成果</w:t>
      </w:r>
      <w:r>
        <w:rPr>
          <w:rFonts w:hint="eastAsia" w:ascii="仿宋" w:hAnsi="仿宋" w:eastAsia="仿宋"/>
          <w:sz w:val="32"/>
          <w:szCs w:val="36"/>
        </w:rPr>
        <w:t>3</w:t>
      </w:r>
      <w:r>
        <w:rPr>
          <w:rFonts w:ascii="仿宋" w:hAnsi="仿宋" w:eastAsia="仿宋"/>
          <w:sz w:val="32"/>
          <w:szCs w:val="36"/>
        </w:rPr>
        <w:t>篇、实践创新成果</w:t>
      </w:r>
      <w:r>
        <w:rPr>
          <w:rFonts w:hint="eastAsia" w:ascii="仿宋" w:hAnsi="仿宋" w:eastAsia="仿宋"/>
          <w:sz w:val="32"/>
          <w:szCs w:val="36"/>
        </w:rPr>
        <w:t>1</w:t>
      </w:r>
      <w:r>
        <w:rPr>
          <w:rFonts w:ascii="仿宋" w:hAnsi="仿宋" w:eastAsia="仿宋"/>
          <w:sz w:val="32"/>
          <w:szCs w:val="36"/>
        </w:rPr>
        <w:t>项</w:t>
      </w:r>
      <w:r>
        <w:rPr>
          <w:rFonts w:hint="eastAsia" w:ascii="仿宋" w:hAnsi="仿宋" w:eastAsia="仿宋"/>
          <w:sz w:val="32"/>
          <w:szCs w:val="36"/>
        </w:rPr>
        <w:t>，为多党合作实践提供理论支撑</w:t>
      </w:r>
      <w:r>
        <w:rPr>
          <w:rFonts w:ascii="仿宋" w:hAnsi="仿宋" w:eastAsia="仿宋"/>
          <w:sz w:val="32"/>
          <w:szCs w:val="36"/>
        </w:rPr>
        <w:t>。</w:t>
      </w:r>
    </w:p>
    <w:p>
      <w:pPr>
        <w:spacing w:line="540" w:lineRule="exact"/>
        <w:ind w:firstLine="643" w:firstLineChars="200"/>
        <w:rPr>
          <w:rFonts w:ascii="仿宋" w:hAnsi="仿宋" w:eastAsia="仿宋" w:cs="仿宋_GB2312"/>
          <w:bCs/>
          <w:sz w:val="32"/>
          <w:szCs w:val="36"/>
        </w:rPr>
      </w:pPr>
      <w:r>
        <w:rPr>
          <w:rFonts w:hint="eastAsia" w:ascii="仿宋" w:hAnsi="仿宋" w:eastAsia="仿宋"/>
          <w:b/>
          <w:sz w:val="32"/>
          <w:szCs w:val="36"/>
        </w:rPr>
        <w:t>四是守牢思想宣传阵地</w:t>
      </w:r>
      <w:r>
        <w:rPr>
          <w:rFonts w:ascii="仿宋" w:hAnsi="仿宋" w:eastAsia="仿宋"/>
          <w:b/>
          <w:sz w:val="32"/>
          <w:szCs w:val="36"/>
        </w:rPr>
        <w:t>。</w:t>
      </w:r>
      <w:r>
        <w:rPr>
          <w:rFonts w:hint="eastAsia" w:ascii="仿宋" w:hAnsi="仿宋" w:eastAsia="仿宋" w:cs="仿宋_GB2312"/>
          <w:bCs/>
          <w:sz w:val="32"/>
          <w:szCs w:val="36"/>
        </w:rPr>
        <w:t>牢牢把握意识形态工作主</w:t>
      </w:r>
      <w:bookmarkStart w:id="47" w:name="OfficeAI_Add_11_25"/>
      <w:r>
        <w:rPr>
          <w:rFonts w:hint="eastAsia" w:ascii="仿宋" w:hAnsi="仿宋" w:eastAsia="仿宋" w:cs="仿宋_GB2312"/>
          <w:bCs/>
          <w:sz w:val="32"/>
          <w:szCs w:val="36"/>
        </w:rPr>
        <w:t>导权</w:t>
      </w:r>
      <w:bookmarkEnd w:id="47"/>
      <w:r>
        <w:rPr>
          <w:rFonts w:hint="eastAsia" w:ascii="仿宋" w:hAnsi="仿宋" w:eastAsia="仿宋" w:cs="仿宋_GB2312"/>
          <w:bCs/>
          <w:sz w:val="32"/>
          <w:szCs w:val="36"/>
        </w:rPr>
        <w:t>，全方位引领党员提高政治站位，弘扬社会主义核心价值观。大力弘扬“爱国、革命、奉献”优良传统，积极讲好农工党故事。以省委会、市政协、市委统战部网站，微信公众号、QQ群、微信群为主阵地，加大内外宣传力度。</w:t>
      </w:r>
      <w:r>
        <w:rPr>
          <w:rFonts w:hint="eastAsia" w:ascii="仿宋" w:hAnsi="仿宋" w:eastAsia="仿宋" w:cs="仿宋_GB2312"/>
          <w:snapToGrid w:val="0"/>
          <w:sz w:val="32"/>
          <w:szCs w:val="32"/>
        </w:rPr>
        <w:t>人民政协报刊发</w:t>
      </w:r>
      <w:r>
        <w:rPr>
          <w:rFonts w:hint="eastAsia" w:ascii="仿宋" w:hAnsi="仿宋" w:eastAsia="仿宋" w:cs="仿宋_GB2312"/>
          <w:bCs/>
          <w:sz w:val="32"/>
          <w:szCs w:val="36"/>
        </w:rPr>
        <w:t>通讯1篇，省委会网站刊发信息13篇，省委统战部网站刊发信息4篇，市政协、市委统战部网站刊发信息72篇，市委会微信公众号推送121期，公众号关注人数稳步增长，构建起全方位、立体式思想引领格局。</w:t>
      </w:r>
    </w:p>
    <w:p>
      <w:pPr>
        <w:spacing w:line="540" w:lineRule="exact"/>
        <w:rPr>
          <w:rFonts w:ascii="华文仿宋" w:hAnsi="华文仿宋" w:eastAsia="华文仿宋"/>
          <w:b/>
          <w:bCs/>
          <w:spacing w:val="-6"/>
          <w:sz w:val="32"/>
          <w:szCs w:val="32"/>
        </w:rPr>
      </w:pPr>
      <w:r>
        <w:rPr>
          <w:rFonts w:hint="eastAsia" w:ascii="华文仿宋" w:hAnsi="华文仿宋" w:eastAsia="华文仿宋"/>
          <w:b/>
          <w:bCs/>
          <w:sz w:val="32"/>
          <w:szCs w:val="36"/>
        </w:rPr>
        <w:t xml:space="preserve">    (2)</w:t>
      </w:r>
      <w:r>
        <w:rPr>
          <w:rFonts w:ascii="华文仿宋" w:hAnsi="华文仿宋" w:eastAsia="华文仿宋"/>
          <w:b/>
          <w:bCs/>
          <w:sz w:val="32"/>
          <w:szCs w:val="36"/>
        </w:rPr>
        <w:t>聚焦</w:t>
      </w:r>
      <w:r>
        <w:rPr>
          <w:rFonts w:ascii="华文仿宋" w:hAnsi="华文仿宋" w:eastAsia="华文仿宋"/>
          <w:b/>
          <w:bCs/>
          <w:spacing w:val="-6"/>
          <w:sz w:val="32"/>
          <w:szCs w:val="32"/>
        </w:rPr>
        <w:t>中心大局，精准履职建言，彰显参政党智库价值</w:t>
      </w:r>
    </w:p>
    <w:p>
      <w:pPr>
        <w:spacing w:line="540" w:lineRule="exact"/>
        <w:ind w:firstLine="643" w:firstLineChars="200"/>
        <w:rPr>
          <w:rFonts w:ascii="仿宋" w:hAnsi="仿宋" w:eastAsia="仿宋" w:cs="仿宋_GB2312"/>
          <w:bCs/>
          <w:sz w:val="32"/>
          <w:szCs w:val="36"/>
        </w:rPr>
      </w:pPr>
      <w:r>
        <w:rPr>
          <w:rFonts w:hint="eastAsia" w:ascii="仿宋" w:hAnsi="仿宋" w:eastAsia="仿宋"/>
          <w:b/>
          <w:sz w:val="32"/>
          <w:szCs w:val="36"/>
        </w:rPr>
        <w:t>一是</w:t>
      </w:r>
      <w:r>
        <w:rPr>
          <w:rFonts w:ascii="仿宋" w:hAnsi="仿宋" w:eastAsia="仿宋"/>
          <w:b/>
          <w:sz w:val="32"/>
          <w:szCs w:val="36"/>
        </w:rPr>
        <w:t>政党协商</w:t>
      </w:r>
      <w:r>
        <w:rPr>
          <w:rFonts w:hint="eastAsia" w:ascii="仿宋" w:hAnsi="仿宋" w:eastAsia="仿宋"/>
          <w:b/>
          <w:sz w:val="32"/>
          <w:szCs w:val="36"/>
        </w:rPr>
        <w:t>提质增效</w:t>
      </w:r>
      <w:r>
        <w:rPr>
          <w:rFonts w:ascii="仿宋" w:hAnsi="仿宋" w:eastAsia="仿宋"/>
          <w:b/>
          <w:sz w:val="32"/>
          <w:szCs w:val="36"/>
        </w:rPr>
        <w:t>。</w:t>
      </w:r>
      <w:r>
        <w:rPr>
          <w:rFonts w:hint="eastAsia" w:ascii="仿宋" w:hAnsi="仿宋" w:eastAsia="仿宋" w:cs="仿宋_GB2312"/>
          <w:bCs/>
          <w:sz w:val="32"/>
          <w:szCs w:val="36"/>
        </w:rPr>
        <w:t>积极参加中共巴中市委、市政府召开的协商会、座谈会，对深入推进创新驱动引领高质量发展的决定、政府工作报告等提出修改建议，得到充分采纳吸收。根据2025年度政党协商计划安排，围绕“融圈建链”主题，组织专班到各县区开展重点调研，形成了《关于推动巴中中医药产业融合发展的建议》报告在政党协商会上发言，充分展现了好参谋、好帮手、好同事的政治担当。</w:t>
      </w:r>
    </w:p>
    <w:p>
      <w:pPr>
        <w:spacing w:line="540" w:lineRule="exact"/>
        <w:ind w:firstLine="643" w:firstLineChars="200"/>
        <w:rPr>
          <w:rFonts w:ascii="仿宋" w:hAnsi="仿宋" w:eastAsia="仿宋" w:cs="仿宋_GB2312"/>
          <w:bCs/>
          <w:sz w:val="32"/>
          <w:szCs w:val="36"/>
        </w:rPr>
      </w:pPr>
      <w:r>
        <w:rPr>
          <w:rFonts w:hint="eastAsia" w:ascii="仿宋" w:hAnsi="仿宋" w:eastAsia="仿宋" w:cs="楷体"/>
          <w:b/>
          <w:sz w:val="32"/>
          <w:szCs w:val="36"/>
        </w:rPr>
        <w:t>二是调查研究走深走实。</w:t>
      </w:r>
      <w:r>
        <w:rPr>
          <w:rFonts w:hint="eastAsia" w:ascii="仿宋" w:hAnsi="仿宋" w:eastAsia="仿宋" w:cs="仿宋_GB2312"/>
          <w:bCs/>
          <w:sz w:val="32"/>
          <w:szCs w:val="36"/>
        </w:rPr>
        <w:t>紧紧围绕中央、省委、市委中心工作，紧扣“十五五”规划编制、新质生产力培育等重点任务，针对群众关心的社会热</w:t>
      </w:r>
      <w:bookmarkStart w:id="48" w:name="OfficeAI_Add_19_63"/>
      <w:r>
        <w:rPr>
          <w:rFonts w:hint="eastAsia" w:ascii="仿宋" w:hAnsi="仿宋" w:eastAsia="仿宋" w:cs="仿宋_GB2312"/>
          <w:bCs/>
          <w:sz w:val="32"/>
          <w:szCs w:val="36"/>
        </w:rPr>
        <w:t>点</w:t>
      </w:r>
      <w:bookmarkEnd w:id="48"/>
      <w:r>
        <w:rPr>
          <w:rFonts w:hint="eastAsia" w:ascii="仿宋" w:hAnsi="仿宋" w:eastAsia="仿宋" w:cs="仿宋_GB2312"/>
          <w:bCs/>
          <w:sz w:val="32"/>
          <w:szCs w:val="36"/>
        </w:rPr>
        <w:t>难点问题，深入基层开展调研5次，撰写高质量调研文章5篇。统筹协调各专委会、党内各类资源，组织党员积极参与农工党中央、省委会专题调研3次，报送相关基础材料15篇。</w:t>
      </w:r>
    </w:p>
    <w:p>
      <w:pPr>
        <w:spacing w:line="540" w:lineRule="exact"/>
        <w:ind w:firstLine="643" w:firstLineChars="200"/>
        <w:rPr>
          <w:rFonts w:ascii="仿宋" w:hAnsi="仿宋" w:eastAsia="仿宋" w:cs="仿宋_GB2312"/>
          <w:bCs/>
          <w:sz w:val="32"/>
          <w:szCs w:val="36"/>
        </w:rPr>
      </w:pPr>
      <w:r>
        <w:rPr>
          <w:rFonts w:hint="eastAsia" w:ascii="仿宋" w:hAnsi="仿宋" w:eastAsia="仿宋" w:cs="楷体"/>
          <w:b/>
          <w:sz w:val="32"/>
          <w:szCs w:val="36"/>
        </w:rPr>
        <w:t>三是参政议政成果丰硕。</w:t>
      </w:r>
      <w:r>
        <w:rPr>
          <w:rFonts w:hint="eastAsia" w:ascii="仿宋" w:hAnsi="仿宋" w:eastAsia="仿宋" w:cs="仿宋_GB2312"/>
          <w:bCs/>
          <w:sz w:val="32"/>
          <w:szCs w:val="36"/>
        </w:rPr>
        <w:t>“两会”期间，代表、委员们共</w:t>
      </w:r>
      <w:bookmarkStart w:id="49" w:name="OfficeAI_Del_20_25"/>
      <w:r>
        <w:rPr>
          <w:rFonts w:hint="eastAsia" w:ascii="仿宋" w:hAnsi="仿宋" w:eastAsia="仿宋" w:cs="仿宋_GB2312"/>
          <w:bCs/>
          <w:sz w:val="32"/>
          <w:szCs w:val="36"/>
        </w:rPr>
        <w:t>撰写</w:t>
      </w:r>
      <w:bookmarkEnd w:id="49"/>
      <w:r>
        <w:rPr>
          <w:rFonts w:hint="eastAsia" w:ascii="仿宋" w:hAnsi="仿宋" w:eastAsia="仿宋" w:cs="仿宋_GB2312"/>
          <w:bCs/>
          <w:sz w:val="32"/>
          <w:szCs w:val="36"/>
        </w:rPr>
        <w:t>建议、意见和提案43件，多篇被政府及有关部门采纳。市委会牵头组织提交大会发言1篇，集体提案3件。提案《关于进一步规范主城区道路交通标</w:t>
      </w:r>
      <w:bookmarkStart w:id="50" w:name="OfficeAI_Add_20_97"/>
      <w:r>
        <w:rPr>
          <w:rFonts w:hint="eastAsia" w:ascii="仿宋" w:hAnsi="仿宋" w:eastAsia="仿宋" w:cs="仿宋_GB2312"/>
          <w:bCs/>
          <w:sz w:val="32"/>
          <w:szCs w:val="36"/>
        </w:rPr>
        <w:t>识</w:t>
      </w:r>
      <w:bookmarkEnd w:id="50"/>
      <w:r>
        <w:rPr>
          <w:rFonts w:hint="eastAsia" w:ascii="仿宋" w:hAnsi="仿宋" w:eastAsia="仿宋" w:cs="仿宋_GB2312"/>
          <w:bCs/>
          <w:sz w:val="32"/>
          <w:szCs w:val="36"/>
        </w:rPr>
        <w:t>的建议》被表彰为优秀提案，3名党员被表彰为优秀政协委员。截止目前，征集整理上报社情民意信息38条，其中3</w:t>
      </w:r>
      <w:bookmarkStart w:id="51" w:name="OfficeAI_Add_20_151"/>
      <w:r>
        <w:rPr>
          <w:rFonts w:hint="eastAsia" w:ascii="仿宋" w:hAnsi="仿宋" w:eastAsia="仿宋" w:cs="仿宋_GB2312"/>
          <w:bCs/>
          <w:sz w:val="32"/>
          <w:szCs w:val="36"/>
        </w:rPr>
        <w:t>条</w:t>
      </w:r>
      <w:bookmarkEnd w:id="51"/>
      <w:r>
        <w:rPr>
          <w:rFonts w:hint="eastAsia" w:ascii="仿宋" w:hAnsi="仿宋" w:eastAsia="仿宋" w:cs="仿宋_GB2312"/>
          <w:bCs/>
          <w:sz w:val="32"/>
          <w:szCs w:val="36"/>
        </w:rPr>
        <w:t>被全国政协采用，4篇被农工党中央采用，7</w:t>
      </w:r>
      <w:bookmarkStart w:id="52" w:name="OfficeAI_Add_20_173"/>
      <w:r>
        <w:rPr>
          <w:rFonts w:hint="eastAsia" w:ascii="仿宋" w:hAnsi="仿宋" w:eastAsia="仿宋" w:cs="仿宋_GB2312"/>
          <w:bCs/>
          <w:sz w:val="32"/>
          <w:szCs w:val="36"/>
        </w:rPr>
        <w:t>条</w:t>
      </w:r>
      <w:bookmarkEnd w:id="52"/>
      <w:r>
        <w:rPr>
          <w:rFonts w:hint="eastAsia" w:ascii="仿宋" w:hAnsi="仿宋" w:eastAsia="仿宋" w:cs="仿宋_GB2312"/>
          <w:bCs/>
          <w:sz w:val="32"/>
          <w:szCs w:val="36"/>
        </w:rPr>
        <w:t>得到省政协采用。</w:t>
      </w:r>
    </w:p>
    <w:p>
      <w:pPr>
        <w:spacing w:line="540" w:lineRule="exact"/>
        <w:ind w:firstLine="643" w:firstLineChars="200"/>
        <w:rPr>
          <w:rFonts w:ascii="仿宋" w:hAnsi="仿宋" w:eastAsia="仿宋"/>
          <w:sz w:val="32"/>
          <w:szCs w:val="36"/>
        </w:rPr>
      </w:pPr>
      <w:r>
        <w:rPr>
          <w:rFonts w:hint="eastAsia" w:ascii="仿宋" w:hAnsi="仿宋" w:eastAsia="仿宋"/>
          <w:b/>
          <w:sz w:val="32"/>
          <w:szCs w:val="36"/>
        </w:rPr>
        <w:t>三是党员队伍结构进一步优化</w:t>
      </w:r>
      <w:r>
        <w:rPr>
          <w:rFonts w:ascii="仿宋" w:hAnsi="仿宋" w:eastAsia="仿宋"/>
          <w:b/>
          <w:sz w:val="32"/>
          <w:szCs w:val="36"/>
        </w:rPr>
        <w:t>。</w:t>
      </w:r>
      <w:r>
        <w:rPr>
          <w:rFonts w:hint="eastAsia" w:ascii="仿宋" w:hAnsi="仿宋" w:eastAsia="仿宋" w:cs="仿宋_GB2312"/>
          <w:bCs/>
          <w:sz w:val="32"/>
          <w:szCs w:val="36"/>
        </w:rPr>
        <w:t>市委会深入贯彻落实《中共中央关于加强中国特色社会主义参政党建设的意见》等重要文件精神，举办各</w:t>
      </w:r>
      <w:bookmarkStart w:id="53" w:name="OfficeAI_Add_25_61"/>
      <w:r>
        <w:rPr>
          <w:rFonts w:hint="eastAsia" w:ascii="仿宋" w:hAnsi="仿宋" w:eastAsia="仿宋" w:cs="仿宋_GB2312"/>
          <w:bCs/>
          <w:sz w:val="32"/>
          <w:szCs w:val="36"/>
        </w:rPr>
        <w:t>类</w:t>
      </w:r>
      <w:bookmarkEnd w:id="53"/>
      <w:r>
        <w:rPr>
          <w:rFonts w:hint="eastAsia" w:ascii="仿宋" w:hAnsi="仿宋" w:eastAsia="仿宋" w:cs="仿宋_GB2312"/>
          <w:bCs/>
          <w:sz w:val="32"/>
          <w:szCs w:val="36"/>
        </w:rPr>
        <w:t>培训3次。加强代表人士队伍的“选、育、用、管、联”，强化沟通协调，加强对优秀党员的推荐培养，充实中青年代表人才库，着力推动代表人士队伍扩量提</w:t>
      </w:r>
      <w:bookmarkStart w:id="54" w:name="OfficeAI_Del_16_130"/>
      <w:r>
        <w:rPr>
          <w:rFonts w:hint="eastAsia" w:ascii="仿宋" w:hAnsi="仿宋" w:eastAsia="仿宋" w:cs="仿宋_GB2312"/>
          <w:bCs/>
          <w:sz w:val="32"/>
          <w:szCs w:val="36"/>
        </w:rPr>
        <w:t>质</w:t>
      </w:r>
      <w:bookmarkEnd w:id="54"/>
      <w:r>
        <w:rPr>
          <w:rFonts w:hint="eastAsia" w:ascii="仿宋" w:hAnsi="仿宋" w:eastAsia="仿宋" w:cs="仿宋_GB2312"/>
          <w:bCs/>
          <w:sz w:val="32"/>
          <w:szCs w:val="36"/>
        </w:rPr>
        <w:t>。一年来，推荐县处级党员2名，考察入党积极分子16名，发展新党员10名。全市现有党员466名，医卫界占59%，教育界占18%，人</w:t>
      </w:r>
      <w:bookmarkStart w:id="55" w:name="OfficeAI_Add_25_197"/>
      <w:r>
        <w:rPr>
          <w:rFonts w:hint="eastAsia" w:ascii="仿宋" w:hAnsi="仿宋" w:eastAsia="仿宋" w:cs="仿宋_GB2312"/>
          <w:bCs/>
          <w:sz w:val="32"/>
          <w:szCs w:val="36"/>
        </w:rPr>
        <w:t>口</w:t>
      </w:r>
      <w:bookmarkEnd w:id="55"/>
      <w:r>
        <w:rPr>
          <w:rFonts w:hint="eastAsia" w:ascii="仿宋" w:hAnsi="仿宋" w:eastAsia="仿宋" w:cs="仿宋_GB2312"/>
          <w:bCs/>
          <w:sz w:val="32"/>
          <w:szCs w:val="36"/>
        </w:rPr>
        <w:t>资</w:t>
      </w:r>
      <w:bookmarkStart w:id="56" w:name="OfficeAI_Add_25_199"/>
      <w:r>
        <w:rPr>
          <w:rFonts w:hint="eastAsia" w:ascii="仿宋" w:hAnsi="仿宋" w:eastAsia="仿宋" w:cs="仿宋_GB2312"/>
          <w:bCs/>
          <w:sz w:val="32"/>
          <w:szCs w:val="36"/>
        </w:rPr>
        <w:t>源</w:t>
      </w:r>
      <w:bookmarkEnd w:id="56"/>
      <w:r>
        <w:rPr>
          <w:rFonts w:hint="eastAsia" w:ascii="仿宋" w:hAnsi="仿宋" w:eastAsia="仿宋" w:cs="仿宋_GB2312"/>
          <w:bCs/>
          <w:sz w:val="32"/>
          <w:szCs w:val="36"/>
        </w:rPr>
        <w:t>环</w:t>
      </w:r>
      <w:bookmarkStart w:id="57" w:name="OfficeAI_Add_25_201"/>
      <w:r>
        <w:rPr>
          <w:rFonts w:hint="eastAsia" w:ascii="仿宋" w:hAnsi="仿宋" w:eastAsia="仿宋" w:cs="仿宋_GB2312"/>
          <w:bCs/>
          <w:sz w:val="32"/>
          <w:szCs w:val="36"/>
        </w:rPr>
        <w:t>境领域</w:t>
      </w:r>
      <w:bookmarkEnd w:id="57"/>
      <w:r>
        <w:rPr>
          <w:rFonts w:hint="eastAsia" w:ascii="仿宋" w:hAnsi="仿宋" w:eastAsia="仿宋" w:cs="仿宋_GB2312"/>
          <w:bCs/>
          <w:sz w:val="32"/>
          <w:szCs w:val="36"/>
        </w:rPr>
        <w:t>占15%，新社会阶层人士占8%，党员平均年龄50.9岁。党员结构持续优</w:t>
      </w:r>
      <w:r>
        <w:rPr>
          <w:rFonts w:ascii="仿宋" w:hAnsi="仿宋" w:eastAsia="仿宋"/>
          <w:sz w:val="32"/>
          <w:szCs w:val="36"/>
        </w:rPr>
        <w:t>化，主体界别比例稳定，质量</w:t>
      </w:r>
      <w:r>
        <w:rPr>
          <w:rFonts w:hint="eastAsia" w:ascii="仿宋" w:hAnsi="仿宋" w:eastAsia="仿宋"/>
          <w:sz w:val="32"/>
          <w:szCs w:val="36"/>
        </w:rPr>
        <w:t>稳步</w:t>
      </w:r>
      <w:r>
        <w:rPr>
          <w:rFonts w:ascii="仿宋" w:hAnsi="仿宋" w:eastAsia="仿宋"/>
          <w:sz w:val="32"/>
          <w:szCs w:val="36"/>
        </w:rPr>
        <w:t>提升。</w:t>
      </w:r>
    </w:p>
    <w:p>
      <w:pPr>
        <w:spacing w:line="540" w:lineRule="exact"/>
        <w:ind w:firstLine="643" w:firstLineChars="200"/>
        <w:rPr>
          <w:rFonts w:ascii="仿宋" w:hAnsi="仿宋" w:eastAsia="仿宋"/>
          <w:bCs/>
          <w:sz w:val="32"/>
          <w:szCs w:val="36"/>
        </w:rPr>
      </w:pPr>
      <w:r>
        <w:rPr>
          <w:rFonts w:hint="eastAsia" w:ascii="仿宋" w:hAnsi="仿宋" w:eastAsia="仿宋"/>
          <w:b/>
          <w:sz w:val="32"/>
          <w:szCs w:val="36"/>
        </w:rPr>
        <w:t>四是</w:t>
      </w:r>
      <w:r>
        <w:rPr>
          <w:rFonts w:ascii="仿宋" w:hAnsi="仿宋" w:eastAsia="仿宋"/>
          <w:b/>
          <w:sz w:val="32"/>
          <w:szCs w:val="36"/>
        </w:rPr>
        <w:t>组织管理</w:t>
      </w:r>
      <w:r>
        <w:rPr>
          <w:rFonts w:hint="eastAsia" w:ascii="仿宋" w:hAnsi="仿宋" w:eastAsia="仿宋"/>
          <w:b/>
          <w:sz w:val="32"/>
          <w:szCs w:val="36"/>
        </w:rPr>
        <w:t>进一步</w:t>
      </w:r>
      <w:r>
        <w:rPr>
          <w:rFonts w:ascii="仿宋" w:hAnsi="仿宋" w:eastAsia="仿宋"/>
          <w:b/>
          <w:sz w:val="32"/>
          <w:szCs w:val="36"/>
        </w:rPr>
        <w:t>强</w:t>
      </w:r>
      <w:r>
        <w:rPr>
          <w:rFonts w:hint="eastAsia" w:ascii="仿宋" w:hAnsi="仿宋" w:eastAsia="仿宋"/>
          <w:b/>
          <w:sz w:val="32"/>
          <w:szCs w:val="36"/>
        </w:rPr>
        <w:t>化</w:t>
      </w:r>
      <w:r>
        <w:rPr>
          <w:rFonts w:ascii="仿宋" w:hAnsi="仿宋" w:eastAsia="仿宋"/>
          <w:b/>
          <w:sz w:val="32"/>
          <w:szCs w:val="36"/>
        </w:rPr>
        <w:t>。</w:t>
      </w:r>
      <w:r>
        <w:rPr>
          <w:rFonts w:hint="eastAsia" w:ascii="仿宋" w:hAnsi="仿宋" w:eastAsia="仿宋" w:cs="仿宋_GB2312"/>
          <w:bCs/>
          <w:sz w:val="32"/>
          <w:szCs w:val="36"/>
        </w:rPr>
        <w:t>认真做好代表人士信息库动态管理，加大干部培训力度。完善《市委会机关干部联系基层组织制度》，机关每位干部继续联系基层组织，指导基层组织工作开展，深化“活力基层组织”建设。</w:t>
      </w:r>
      <w:r>
        <w:rPr>
          <w:rFonts w:ascii="仿宋" w:hAnsi="仿宋" w:eastAsia="仿宋"/>
          <w:sz w:val="32"/>
          <w:szCs w:val="36"/>
        </w:rPr>
        <w:t>深入基层</w:t>
      </w:r>
      <w:r>
        <w:rPr>
          <w:rFonts w:hint="eastAsia" w:ascii="仿宋" w:hAnsi="仿宋" w:eastAsia="仿宋"/>
          <w:sz w:val="32"/>
          <w:szCs w:val="36"/>
        </w:rPr>
        <w:t>“</w:t>
      </w:r>
      <w:r>
        <w:rPr>
          <w:rFonts w:ascii="仿宋" w:hAnsi="仿宋" w:eastAsia="仿宋"/>
          <w:sz w:val="32"/>
          <w:szCs w:val="36"/>
        </w:rPr>
        <w:t>党员之家</w:t>
      </w:r>
      <w:r>
        <w:rPr>
          <w:rFonts w:hint="eastAsia" w:ascii="仿宋" w:hAnsi="仿宋" w:eastAsia="仿宋"/>
          <w:sz w:val="32"/>
          <w:szCs w:val="36"/>
        </w:rPr>
        <w:t>”</w:t>
      </w:r>
      <w:r>
        <w:rPr>
          <w:rFonts w:ascii="仿宋" w:hAnsi="仿宋" w:eastAsia="仿宋"/>
          <w:sz w:val="32"/>
          <w:szCs w:val="36"/>
        </w:rPr>
        <w:t>调研4次</w:t>
      </w:r>
      <w:r>
        <w:rPr>
          <w:rFonts w:hint="eastAsia" w:ascii="仿宋" w:hAnsi="仿宋" w:eastAsia="仿宋" w:cs="仿宋_GB2312"/>
          <w:bCs/>
          <w:sz w:val="32"/>
          <w:szCs w:val="36"/>
        </w:rPr>
        <w:t>，指导各基层组织充分发挥其党员活动阵地、履行职能基地、学习教育园地、沟通交流平台作用，持续激发组织凝聚力。召开基层组织建设工作座谈会，农工党四川省委会专职副主委何苹莅会指导。按照农工党省委、市委统战部的安排选派党员干部参加各级培训，全年共20余人次参加省、市级培训。通过各级学习培训，进一步提高全市骨干党员的政治理论水平，增强政治把握能力。</w:t>
      </w:r>
    </w:p>
    <w:p>
      <w:pPr>
        <w:spacing w:line="540" w:lineRule="exact"/>
        <w:ind w:firstLine="643" w:firstLineChars="200"/>
        <w:rPr>
          <w:rFonts w:ascii="仿宋" w:hAnsi="仿宋" w:eastAsia="仿宋" w:cs="仿宋_GB2312"/>
          <w:bCs/>
          <w:sz w:val="32"/>
          <w:szCs w:val="36"/>
        </w:rPr>
      </w:pPr>
      <w:r>
        <w:rPr>
          <w:rFonts w:hint="eastAsia" w:ascii="仿宋" w:hAnsi="仿宋" w:eastAsia="仿宋"/>
          <w:b/>
          <w:sz w:val="32"/>
          <w:szCs w:val="36"/>
        </w:rPr>
        <w:t>五是基层组织活力进一步激发</w:t>
      </w:r>
      <w:r>
        <w:rPr>
          <w:rFonts w:ascii="仿宋" w:hAnsi="仿宋" w:eastAsia="仿宋"/>
          <w:b/>
          <w:sz w:val="32"/>
          <w:szCs w:val="36"/>
        </w:rPr>
        <w:t>。</w:t>
      </w:r>
      <w:r>
        <w:rPr>
          <w:rFonts w:hint="eastAsia" w:ascii="仿宋" w:hAnsi="仿宋" w:eastAsia="仿宋" w:cs="仿宋_GB2312"/>
          <w:bCs/>
          <w:sz w:val="32"/>
          <w:szCs w:val="36"/>
        </w:rPr>
        <w:t>创新活动方式，与各总支、支部联合开展主题活动7次。充分</w:t>
      </w:r>
      <w:bookmarkStart w:id="58" w:name="OfficeAI_Add_27_43"/>
      <w:r>
        <w:rPr>
          <w:rFonts w:hint="eastAsia" w:ascii="仿宋" w:hAnsi="仿宋" w:eastAsia="仿宋" w:cs="仿宋_GB2312"/>
          <w:bCs/>
          <w:sz w:val="32"/>
          <w:szCs w:val="36"/>
        </w:rPr>
        <w:t>发挥</w:t>
      </w:r>
      <w:bookmarkEnd w:id="58"/>
      <w:r>
        <w:rPr>
          <w:rFonts w:hint="eastAsia" w:ascii="仿宋" w:hAnsi="仿宋" w:eastAsia="仿宋" w:cs="仿宋_GB2312"/>
          <w:bCs/>
          <w:sz w:val="32"/>
          <w:szCs w:val="36"/>
        </w:rPr>
        <w:t>专委会</w:t>
      </w:r>
      <w:bookmarkStart w:id="59" w:name="OfficeAI_Add_27_48"/>
      <w:r>
        <w:rPr>
          <w:rFonts w:hint="eastAsia" w:ascii="仿宋" w:hAnsi="仿宋" w:eastAsia="仿宋" w:cs="仿宋_GB2312"/>
          <w:bCs/>
          <w:sz w:val="32"/>
          <w:szCs w:val="36"/>
        </w:rPr>
        <w:t>作用</w:t>
      </w:r>
      <w:bookmarkEnd w:id="59"/>
      <w:r>
        <w:rPr>
          <w:rFonts w:hint="eastAsia" w:ascii="仿宋" w:hAnsi="仿宋" w:eastAsia="仿宋" w:cs="仿宋_GB2312"/>
          <w:bCs/>
          <w:sz w:val="32"/>
          <w:szCs w:val="36"/>
        </w:rPr>
        <w:t>开展各类活动4次。春节期间，市委会慰问老领导、老党员、困难党员及部分党员代表，组织开展“春联送福”等活动。组织全市女党员开展以“巾帼聚力·筑梦农工”为主题的调研活动；在第八个中国医师节来临之际，看望慰问奋战在一线的农工党党员医师代表；举行以“坚守教育初心·弘扬师德师风”为主题的庆祝教师节文艺汇演活动。恩阳区总</w:t>
      </w:r>
      <w:bookmarkStart w:id="60" w:name="OfficeAI_Add_27_205"/>
      <w:r>
        <w:rPr>
          <w:rFonts w:hint="eastAsia" w:ascii="仿宋" w:hAnsi="仿宋" w:eastAsia="仿宋" w:cs="仿宋_GB2312"/>
          <w:bCs/>
          <w:sz w:val="32"/>
          <w:szCs w:val="36"/>
        </w:rPr>
        <w:t>支</w:t>
      </w:r>
      <w:bookmarkEnd w:id="60"/>
      <w:r>
        <w:rPr>
          <w:rFonts w:hint="eastAsia" w:ascii="仿宋" w:hAnsi="仿宋" w:eastAsia="仿宋" w:cs="仿宋_GB2312"/>
          <w:bCs/>
          <w:sz w:val="32"/>
          <w:szCs w:val="36"/>
        </w:rPr>
        <w:t>开展教师节走访慰问活动；市文化教育支部组织支部党员开展“亲近自然·彰显女性美丽青春”庆祝三八节主题活动；恩阳区经济科技支部赴德阳市中江县开展“凝心聚力学党史·砥砺奋进新征程”主题教育活动，组织党员观看了爱国主义题材电影《731》；恩阳区卫生综合支部到旺苍县红军城开展“重温红色记忆·弘扬革命精神”学习教育活动。市委会及各基层组织通过一系列活动的开展，进一步增强组织活力和凝聚力。</w:t>
      </w:r>
    </w:p>
    <w:p>
      <w:pPr>
        <w:spacing w:line="540" w:lineRule="exact"/>
        <w:ind w:firstLine="641" w:firstLineChars="200"/>
        <w:rPr>
          <w:rFonts w:ascii="华文仿宋" w:hAnsi="华文仿宋" w:eastAsia="华文仿宋"/>
          <w:b/>
          <w:bCs/>
          <w:snapToGrid w:val="0"/>
          <w:spacing w:val="-6"/>
          <w:sz w:val="32"/>
          <w:szCs w:val="32"/>
        </w:rPr>
      </w:pPr>
      <w:bookmarkStart w:id="61" w:name="OfficeAI_Add_23_4"/>
      <w:r>
        <w:rPr>
          <w:rFonts w:hint="eastAsia" w:ascii="华文仿宋" w:hAnsi="华文仿宋" w:eastAsia="华文仿宋"/>
          <w:b/>
          <w:bCs/>
          <w:sz w:val="32"/>
          <w:szCs w:val="32"/>
        </w:rPr>
        <w:t>(3)</w:t>
      </w:r>
      <w:r>
        <w:rPr>
          <w:rFonts w:hint="eastAsia" w:ascii="华文仿宋" w:hAnsi="华文仿宋" w:eastAsia="华文仿宋"/>
          <w:b/>
          <w:bCs/>
          <w:spacing w:val="-6"/>
          <w:sz w:val="32"/>
          <w:szCs w:val="32"/>
        </w:rPr>
        <w:t>塑</w:t>
      </w:r>
      <w:bookmarkEnd w:id="61"/>
      <w:bookmarkStart w:id="62" w:name="OfficeAI_Add_21_4"/>
      <w:r>
        <w:rPr>
          <w:rFonts w:hint="eastAsia" w:ascii="华文仿宋" w:hAnsi="华文仿宋" w:eastAsia="华文仿宋"/>
          <w:b/>
          <w:bCs/>
          <w:spacing w:val="-6"/>
          <w:sz w:val="32"/>
          <w:szCs w:val="32"/>
        </w:rPr>
        <w:t>造</w:t>
      </w:r>
      <w:bookmarkEnd w:id="62"/>
      <w:r>
        <w:rPr>
          <w:rFonts w:hint="eastAsia" w:ascii="华文仿宋" w:hAnsi="华文仿宋" w:eastAsia="华文仿宋"/>
          <w:b/>
          <w:bCs/>
          <w:spacing w:val="-6"/>
          <w:sz w:val="32"/>
          <w:szCs w:val="32"/>
        </w:rPr>
        <w:t>服务</w:t>
      </w:r>
      <w:r>
        <w:rPr>
          <w:rFonts w:ascii="华文仿宋" w:hAnsi="华文仿宋" w:eastAsia="华文仿宋"/>
          <w:b/>
          <w:bCs/>
          <w:spacing w:val="-6"/>
          <w:sz w:val="32"/>
          <w:szCs w:val="32"/>
        </w:rPr>
        <w:t>品牌，</w:t>
      </w:r>
      <w:r>
        <w:rPr>
          <w:rFonts w:hint="eastAsia" w:ascii="华文仿宋" w:hAnsi="华文仿宋" w:eastAsia="华文仿宋"/>
          <w:b/>
          <w:bCs/>
          <w:spacing w:val="-6"/>
          <w:sz w:val="32"/>
          <w:szCs w:val="32"/>
        </w:rPr>
        <w:t>主动担当作为</w:t>
      </w:r>
      <w:r>
        <w:rPr>
          <w:rFonts w:ascii="华文仿宋" w:hAnsi="华文仿宋" w:eastAsia="华文仿宋"/>
          <w:b/>
          <w:bCs/>
          <w:spacing w:val="-6"/>
          <w:sz w:val="32"/>
          <w:szCs w:val="32"/>
        </w:rPr>
        <w:t>，彰显社会服务</w:t>
      </w:r>
      <w:r>
        <w:rPr>
          <w:rFonts w:hint="eastAsia" w:ascii="华文仿宋" w:hAnsi="华文仿宋" w:eastAsia="华文仿宋"/>
          <w:b/>
          <w:bCs/>
          <w:spacing w:val="-6"/>
          <w:sz w:val="32"/>
          <w:szCs w:val="32"/>
        </w:rPr>
        <w:t>温度</w:t>
      </w:r>
    </w:p>
    <w:p>
      <w:pPr>
        <w:spacing w:line="540" w:lineRule="exact"/>
        <w:ind w:firstLine="626" w:firstLineChars="195"/>
        <w:rPr>
          <w:rFonts w:ascii="仿宋" w:hAnsi="仿宋" w:eastAsia="仿宋"/>
          <w:bCs/>
          <w:sz w:val="32"/>
          <w:szCs w:val="36"/>
        </w:rPr>
      </w:pPr>
      <w:r>
        <w:rPr>
          <w:rFonts w:hint="eastAsia" w:ascii="仿宋" w:hAnsi="仿宋" w:eastAsia="仿宋"/>
          <w:b/>
          <w:sz w:val="32"/>
          <w:szCs w:val="36"/>
        </w:rPr>
        <w:t>一是深化乡村振兴</w:t>
      </w:r>
      <w:r>
        <w:rPr>
          <w:rFonts w:ascii="仿宋" w:hAnsi="仿宋" w:eastAsia="仿宋"/>
          <w:b/>
          <w:sz w:val="32"/>
          <w:szCs w:val="36"/>
        </w:rPr>
        <w:t>定点帮扶。</w:t>
      </w:r>
      <w:r>
        <w:rPr>
          <w:rFonts w:hint="eastAsia" w:ascii="仿宋" w:hAnsi="仿宋" w:eastAsia="仿宋" w:cs="仿宋_GB2312"/>
          <w:bCs/>
          <w:sz w:val="32"/>
          <w:szCs w:val="36"/>
        </w:rPr>
        <w:t>充分发挥界别特色优势，加强统筹协调，</w:t>
      </w:r>
      <w:bookmarkStart w:id="63" w:name="OfficeAI_Add_24_37"/>
      <w:r>
        <w:rPr>
          <w:rFonts w:hint="eastAsia" w:ascii="仿宋" w:hAnsi="仿宋" w:eastAsia="仿宋" w:cs="仿宋_GB2312"/>
          <w:bCs/>
          <w:sz w:val="32"/>
          <w:szCs w:val="36"/>
        </w:rPr>
        <w:t>狠</w:t>
      </w:r>
      <w:bookmarkEnd w:id="63"/>
      <w:r>
        <w:rPr>
          <w:rFonts w:hint="eastAsia" w:ascii="仿宋" w:hAnsi="仿宋" w:eastAsia="仿宋" w:cs="仿宋_GB2312"/>
          <w:bCs/>
          <w:sz w:val="32"/>
          <w:szCs w:val="36"/>
        </w:rPr>
        <w:t>抓产业发展，倾力医疗</w:t>
      </w:r>
      <w:bookmarkStart w:id="64" w:name="OfficeAI_Add_24_59"/>
      <w:r>
        <w:rPr>
          <w:rFonts w:hint="eastAsia" w:ascii="仿宋" w:hAnsi="仿宋" w:eastAsia="仿宋" w:cs="仿宋_GB2312"/>
          <w:bCs/>
          <w:sz w:val="32"/>
          <w:szCs w:val="36"/>
        </w:rPr>
        <w:t>帮</w:t>
      </w:r>
      <w:bookmarkEnd w:id="64"/>
      <w:r>
        <w:rPr>
          <w:rFonts w:hint="eastAsia" w:ascii="仿宋" w:hAnsi="仿宋" w:eastAsia="仿宋" w:cs="仿宋_GB2312"/>
          <w:bCs/>
          <w:sz w:val="32"/>
          <w:szCs w:val="36"/>
        </w:rPr>
        <w:t>扶，助推乡村振兴工作。持续巩固农工党四川省委在巴州区大和乡朱垭村、市委会在恩阳区玉山镇宝石村和白云庙村定点帮扶工作成效，积极发挥基层组织和骨干党员的作用，助力乡村振兴。先后开展调研、义诊、送医送药、春节慰问送春联等活动10次。各总支、市直属支部定期到帮扶村开展帮扶及乡村振兴相关政策宣讲活动6次。</w:t>
      </w:r>
    </w:p>
    <w:p>
      <w:pPr>
        <w:widowControl/>
        <w:spacing w:line="540" w:lineRule="exact"/>
        <w:ind w:firstLine="643" w:firstLineChars="200"/>
        <w:rPr>
          <w:rFonts w:ascii="仿宋" w:hAnsi="仿宋" w:eastAsia="仿宋"/>
          <w:bCs/>
          <w:sz w:val="32"/>
          <w:szCs w:val="36"/>
        </w:rPr>
      </w:pPr>
      <w:r>
        <w:rPr>
          <w:rFonts w:hint="eastAsia" w:ascii="仿宋" w:hAnsi="仿宋" w:eastAsia="仿宋"/>
          <w:b/>
          <w:sz w:val="32"/>
          <w:szCs w:val="32"/>
        </w:rPr>
        <w:t>二是深入推进专项行动。</w:t>
      </w:r>
      <w:r>
        <w:rPr>
          <w:rFonts w:hint="eastAsia" w:ascii="仿宋" w:hAnsi="仿宋" w:eastAsia="仿宋" w:cs="仿宋_GB2312"/>
          <w:bCs/>
          <w:sz w:val="32"/>
          <w:szCs w:val="36"/>
        </w:rPr>
        <w:t>以省政协“同心共建现代化四川”农工党四川省委会“我爱我</w:t>
      </w:r>
      <w:r>
        <w:rPr>
          <w:rFonts w:hint="eastAsia" w:ascii="仿宋" w:hAnsi="仿宋_GB2312" w:eastAsia="仿宋_GB2312" w:cs="仿宋_GB2312"/>
          <w:bCs/>
          <w:sz w:val="32"/>
          <w:szCs w:val="36"/>
        </w:rPr>
        <w:t>・</w:t>
      </w:r>
      <w:r>
        <w:rPr>
          <w:rFonts w:hint="eastAsia" w:ascii="仿宋" w:hAnsi="仿宋" w:eastAsia="仿宋" w:cs="仿宋_GB2312"/>
          <w:bCs/>
          <w:sz w:val="32"/>
          <w:szCs w:val="36"/>
        </w:rPr>
        <w:t>蜀心安”专项行动为抓手，充分发挥党派界别优势，扎实开展一系列内容丰富、形式多样的活动。</w:t>
      </w:r>
      <w:r>
        <w:rPr>
          <w:rFonts w:hint="eastAsia" w:ascii="仿宋" w:hAnsi="仿宋" w:eastAsia="仿宋" w:cs="宋体"/>
          <w:b/>
          <w:sz w:val="32"/>
          <w:szCs w:val="36"/>
        </w:rPr>
        <w:t>校园心理健康服务。</w:t>
      </w:r>
      <w:r>
        <w:rPr>
          <w:rFonts w:hint="eastAsia" w:ascii="仿宋" w:hAnsi="仿宋" w:eastAsia="仿宋" w:cs="仿宋_GB2312"/>
          <w:bCs/>
          <w:sz w:val="32"/>
          <w:szCs w:val="36"/>
        </w:rPr>
        <w:t>市委会联合市政协人口资源环境委员会积极推动“校园心理健康教育特色服务项目”在巴州区光耀学校落地实施。建成按专业标准打造的</w:t>
      </w:r>
      <w:bookmarkStart w:id="65" w:name="OfficeAI_Add_32_178"/>
      <w:r>
        <w:rPr>
          <w:rFonts w:hint="eastAsia" w:ascii="仿宋" w:hAnsi="仿宋" w:eastAsia="仿宋" w:cs="仿宋_GB2312"/>
          <w:bCs/>
          <w:sz w:val="32"/>
          <w:szCs w:val="36"/>
        </w:rPr>
        <w:t>配备</w:t>
      </w:r>
      <w:bookmarkEnd w:id="65"/>
      <w:r>
        <w:rPr>
          <w:rFonts w:hint="eastAsia" w:ascii="仿宋" w:hAnsi="仿宋" w:eastAsia="仿宋" w:cs="仿宋_GB2312"/>
          <w:bCs/>
          <w:sz w:val="32"/>
          <w:szCs w:val="36"/>
        </w:rPr>
        <w:t>专业设备的心理健康咨询室1个。安排农工党党员中的专业心理咨询师定期为学生提供服务3次，心理健康教育家长课堂1次；邀请专家老师举办“健康养生”讲座2场，八段锦培训1次。与市政协人资环委在光耀学校联合挂牌市政协第四界别联组“委员社会服务实践基地”；9月，市政协主席侯中文带领视察组到校视察中小学生心理健康教育工作开展情况。相关通讯《为青少年搭建起“爱心枢纽”》获人民政协报刊发，相关工作报告获省政协主席田向利签批</w:t>
      </w:r>
      <w:bookmarkStart w:id="66" w:name="OfficeAI_Add_32_433"/>
      <w:r>
        <w:rPr>
          <w:rFonts w:hint="eastAsia" w:ascii="仿宋" w:hAnsi="仿宋" w:eastAsia="仿宋" w:cs="仿宋_GB2312"/>
          <w:bCs/>
          <w:sz w:val="32"/>
          <w:szCs w:val="36"/>
        </w:rPr>
        <w:t>肯定</w:t>
      </w:r>
      <w:bookmarkEnd w:id="66"/>
      <w:r>
        <w:rPr>
          <w:rFonts w:hint="eastAsia" w:ascii="仿宋" w:hAnsi="仿宋" w:eastAsia="仿宋" w:cs="仿宋_GB2312"/>
          <w:bCs/>
          <w:sz w:val="32"/>
          <w:szCs w:val="36"/>
        </w:rPr>
        <w:t>。</w:t>
      </w:r>
      <w:r>
        <w:rPr>
          <w:rFonts w:hint="eastAsia" w:ascii="仿宋" w:hAnsi="仿宋" w:eastAsia="仿宋" w:cs="宋体"/>
          <w:b/>
          <w:sz w:val="32"/>
          <w:szCs w:val="36"/>
        </w:rPr>
        <w:t>开展司法联动。</w:t>
      </w:r>
      <w:r>
        <w:rPr>
          <w:rFonts w:hint="eastAsia" w:ascii="仿宋" w:hAnsi="仿宋" w:eastAsia="仿宋" w:cs="仿宋_GB2312"/>
          <w:bCs/>
          <w:sz w:val="32"/>
          <w:szCs w:val="36"/>
        </w:rPr>
        <w:t>与巴州区人民法院联合开展心理疏导和咨询与家事审判系统融合实践行动。农工党党员、国家二级心理咨询师吴丹对2起婚姻家事案件中未成年人进行心理疏导</w:t>
      </w:r>
      <w:r>
        <w:rPr>
          <w:rFonts w:ascii="仿宋" w:hAnsi="仿宋" w:eastAsia="仿宋" w:cs="仿宋_GB2312"/>
          <w:bCs/>
          <w:sz w:val="32"/>
          <w:szCs w:val="36"/>
        </w:rPr>
        <w:t>，相关案例获省高级人民法院主要领导肯定性签批</w:t>
      </w:r>
      <w:r>
        <w:rPr>
          <w:rFonts w:hint="eastAsia" w:ascii="仿宋" w:hAnsi="仿宋" w:eastAsia="仿宋" w:cs="仿宋_GB2312"/>
          <w:bCs/>
          <w:sz w:val="32"/>
          <w:szCs w:val="36"/>
        </w:rPr>
        <w:t>。在与巴州区人民法院联合举办关爱干警身心健康专题讲座上，吴丹老师作《赋能司法·向阳而行——基层法官压力管理与心理韧性提升》专题辅导。</w:t>
      </w:r>
      <w:r>
        <w:rPr>
          <w:rFonts w:hint="eastAsia" w:ascii="仿宋" w:hAnsi="仿宋" w:eastAsia="仿宋" w:cs="宋体"/>
          <w:b/>
          <w:sz w:val="32"/>
          <w:szCs w:val="36"/>
        </w:rPr>
        <w:t>助力企业发展。</w:t>
      </w:r>
      <w:r>
        <w:rPr>
          <w:rFonts w:hint="eastAsia" w:ascii="仿宋" w:hAnsi="仿宋" w:eastAsia="仿宋" w:cs="仿宋_GB2312"/>
          <w:bCs/>
          <w:sz w:val="32"/>
          <w:szCs w:val="36"/>
        </w:rPr>
        <w:t>市委会创新成立农工党巴中市企业家联谊会，并与市委会及相关基层组织联合开展各种活动。走访党员企业活动3次，开展助力乡村振兴产业发展活动2次。市司法支部</w:t>
      </w:r>
      <w:bookmarkStart w:id="67" w:name="OfficeAI_Add_32_704"/>
      <w:r>
        <w:rPr>
          <w:rFonts w:hint="eastAsia" w:ascii="仿宋" w:hAnsi="仿宋" w:eastAsia="仿宋" w:cs="仿宋_GB2312"/>
          <w:bCs/>
          <w:sz w:val="32"/>
          <w:szCs w:val="36"/>
        </w:rPr>
        <w:t>深</w:t>
      </w:r>
      <w:bookmarkEnd w:id="67"/>
      <w:r>
        <w:rPr>
          <w:rFonts w:hint="eastAsia" w:ascii="仿宋" w:hAnsi="仿宋" w:eastAsia="仿宋" w:cs="仿宋_GB2312"/>
          <w:bCs/>
          <w:sz w:val="32"/>
          <w:szCs w:val="36"/>
        </w:rPr>
        <w:t>入企业，为企业</w:t>
      </w:r>
      <w:bookmarkStart w:id="68" w:name="OfficeAI_Add_32_714"/>
      <w:r>
        <w:rPr>
          <w:rFonts w:hint="eastAsia" w:ascii="仿宋" w:hAnsi="仿宋" w:eastAsia="仿宋" w:cs="仿宋_GB2312"/>
          <w:bCs/>
          <w:sz w:val="32"/>
          <w:szCs w:val="36"/>
        </w:rPr>
        <w:t>提供</w:t>
      </w:r>
      <w:bookmarkEnd w:id="68"/>
      <w:r>
        <w:rPr>
          <w:rFonts w:hint="eastAsia" w:ascii="仿宋" w:hAnsi="仿宋" w:eastAsia="仿宋" w:cs="仿宋_GB2312"/>
          <w:bCs/>
          <w:sz w:val="32"/>
          <w:szCs w:val="36"/>
        </w:rPr>
        <w:t>法律援助活动</w:t>
      </w:r>
      <w:bookmarkStart w:id="69" w:name="OfficeAI_Add_12_248"/>
      <w:r>
        <w:rPr>
          <w:rFonts w:hint="eastAsia" w:ascii="仿宋" w:hAnsi="仿宋" w:eastAsia="仿宋" w:cs="仿宋_GB2312"/>
          <w:bCs/>
          <w:sz w:val="32"/>
          <w:szCs w:val="36"/>
        </w:rPr>
        <w:t>；</w:t>
      </w:r>
      <w:bookmarkEnd w:id="69"/>
      <w:r>
        <w:rPr>
          <w:rFonts w:hint="eastAsia" w:ascii="仿宋" w:hAnsi="仿宋" w:eastAsia="仿宋" w:cs="仿宋_GB2312"/>
          <w:bCs/>
          <w:sz w:val="32"/>
          <w:szCs w:val="36"/>
        </w:rPr>
        <w:t>市经济科技支部深入我市部分国有企业和民营企业开展经济形势分析主题研讨等活动2次；巴州区经济科技支部到巴州工业园开展“送清凉”活动；恩阳区经济科技支部</w:t>
      </w:r>
      <w:bookmarkStart w:id="70" w:name="OfficeAI_Add_32_797"/>
      <w:r>
        <w:rPr>
          <w:rFonts w:hint="eastAsia" w:ascii="仿宋" w:hAnsi="仿宋" w:eastAsia="仿宋" w:cs="仿宋_GB2312"/>
          <w:bCs/>
          <w:sz w:val="32"/>
          <w:szCs w:val="36"/>
        </w:rPr>
        <w:t>深</w:t>
      </w:r>
      <w:bookmarkEnd w:id="70"/>
      <w:r>
        <w:rPr>
          <w:rFonts w:hint="eastAsia" w:ascii="仿宋" w:hAnsi="仿宋" w:eastAsia="仿宋" w:cs="仿宋_GB2312"/>
          <w:bCs/>
          <w:sz w:val="32"/>
          <w:szCs w:val="36"/>
        </w:rPr>
        <w:t>入党员企业开展营商环境调研。</w:t>
      </w:r>
      <w:r>
        <w:rPr>
          <w:rFonts w:hint="eastAsia" w:ascii="仿宋" w:hAnsi="仿宋" w:eastAsia="仿宋" w:cs="宋体"/>
          <w:b/>
          <w:sz w:val="32"/>
          <w:szCs w:val="36"/>
        </w:rPr>
        <w:t>助力引资引智。</w:t>
      </w:r>
      <w:r>
        <w:rPr>
          <w:rFonts w:hint="eastAsia" w:ascii="仿宋" w:hAnsi="仿宋" w:eastAsia="仿宋" w:cs="仿宋_GB2312"/>
          <w:bCs/>
          <w:sz w:val="32"/>
          <w:szCs w:val="36"/>
        </w:rPr>
        <w:t>充分发挥党员联系广泛的优势，积极为巴中招商引资牵线搭桥。与市政协人资环委联合引进四川心研科技有限公司“校园心理健康教育特色服务项目”落地巴州区光耀学校，协助引进四川瀚宇京科技有限公司等4个项目落地巴州工业园，为巴中经济发展注入新活力。1月8日，农工党四川省委会主委、省人大常委会副主任何延政赴巴州区大和乡朱垭村看望慰问帮扶群众和驻村干部，实地调研了省委会出资</w:t>
      </w:r>
      <w:bookmarkStart w:id="71" w:name="OfficeAI_Add_32_1022"/>
      <w:r>
        <w:rPr>
          <w:rFonts w:hint="eastAsia" w:ascii="仿宋" w:hAnsi="仿宋" w:eastAsia="仿宋" w:cs="仿宋_GB2312"/>
          <w:bCs/>
          <w:sz w:val="32"/>
          <w:szCs w:val="36"/>
        </w:rPr>
        <w:t>实</w:t>
      </w:r>
      <w:bookmarkEnd w:id="71"/>
      <w:r>
        <w:rPr>
          <w:rFonts w:hint="eastAsia" w:ascii="仿宋" w:hAnsi="仿宋" w:eastAsia="仿宋" w:cs="仿宋_GB2312"/>
          <w:bCs/>
          <w:sz w:val="32"/>
          <w:szCs w:val="36"/>
        </w:rPr>
        <w:t>施的巴州区大和乡朱垭村九根柏树聚居点饮水整治工程。</w:t>
      </w:r>
    </w:p>
    <w:p>
      <w:pPr>
        <w:spacing w:line="540" w:lineRule="exact"/>
        <w:ind w:firstLine="643" w:firstLineChars="200"/>
        <w:rPr>
          <w:rFonts w:ascii="仿宋" w:hAnsi="仿宋" w:eastAsia="仿宋" w:cs="仿宋_GB2312"/>
          <w:snapToGrid w:val="0"/>
          <w:sz w:val="32"/>
          <w:szCs w:val="32"/>
        </w:rPr>
      </w:pPr>
      <w:r>
        <w:rPr>
          <w:rFonts w:hint="eastAsia" w:ascii="仿宋" w:hAnsi="仿宋" w:eastAsia="仿宋"/>
          <w:b/>
          <w:sz w:val="32"/>
          <w:szCs w:val="32"/>
        </w:rPr>
        <w:t>三是擦亮社会服务品牌。</w:t>
      </w:r>
      <w:r>
        <w:rPr>
          <w:rFonts w:hint="eastAsia" w:ascii="仿宋" w:hAnsi="仿宋" w:eastAsia="仿宋" w:cs="仿宋_GB2312"/>
          <w:snapToGrid w:val="0"/>
          <w:sz w:val="32"/>
          <w:szCs w:val="32"/>
        </w:rPr>
        <w:t>年内各总支、直属各支部以及各专委会依托“同心服务社”积极</w:t>
      </w:r>
      <w:bookmarkStart w:id="72" w:name="OfficeAI_Add_33_40"/>
      <w:r>
        <w:rPr>
          <w:rFonts w:hint="eastAsia" w:ascii="仿宋" w:hAnsi="仿宋" w:eastAsia="仿宋" w:cs="仿宋_GB2312"/>
          <w:snapToGrid w:val="0"/>
          <w:sz w:val="32"/>
          <w:szCs w:val="32"/>
        </w:rPr>
        <w:t>开展</w:t>
      </w:r>
      <w:bookmarkEnd w:id="72"/>
      <w:r>
        <w:rPr>
          <w:rFonts w:hint="eastAsia" w:ascii="仿宋" w:hAnsi="仿宋" w:eastAsia="仿宋" w:cs="仿宋_GB2312"/>
          <w:snapToGrid w:val="0"/>
          <w:sz w:val="32"/>
          <w:szCs w:val="32"/>
        </w:rPr>
        <w:t>七个方面</w:t>
      </w:r>
      <w:bookmarkStart w:id="73" w:name="OfficeAI_Add_33_48"/>
      <w:r>
        <w:rPr>
          <w:rFonts w:hint="eastAsia" w:ascii="仿宋" w:hAnsi="仿宋" w:eastAsia="仿宋" w:cs="仿宋_GB2312"/>
          <w:snapToGrid w:val="0"/>
          <w:sz w:val="32"/>
          <w:szCs w:val="32"/>
        </w:rPr>
        <w:t>的</w:t>
      </w:r>
      <w:bookmarkEnd w:id="73"/>
      <w:r>
        <w:rPr>
          <w:rFonts w:hint="eastAsia" w:ascii="仿宋" w:hAnsi="仿宋" w:eastAsia="仿宋" w:cs="仿宋_GB2312"/>
          <w:snapToGrid w:val="0"/>
          <w:sz w:val="32"/>
          <w:szCs w:val="32"/>
        </w:rPr>
        <w:t>社会服务活动17次。如：在巴中市高级中学、恩阳镇</w:t>
      </w:r>
      <w:r>
        <w:rPr>
          <w:rFonts w:ascii="仿宋" w:hAnsi="仿宋" w:eastAsia="仿宋" w:cs="仿宋_GB2312"/>
          <w:snapToGrid w:val="0"/>
          <w:sz w:val="32"/>
          <w:szCs w:val="32"/>
        </w:rPr>
        <w:t>登科中学</w:t>
      </w:r>
      <w:r>
        <w:rPr>
          <w:rFonts w:hint="eastAsia" w:ascii="仿宋" w:hAnsi="仿宋" w:eastAsia="仿宋" w:cs="仿宋_GB2312"/>
          <w:snapToGrid w:val="0"/>
          <w:sz w:val="32"/>
          <w:szCs w:val="32"/>
        </w:rPr>
        <w:t>开展“生命长江”专题宣讲2次；联合巴州区总支开展“2025年环境与健康宣传周”暨“关爱巴城环境卫生守护者”义诊宣传活动。巴州区人民医院支部开展以“关注普遍的眼健康”为主题和“‘便’通人和，畅享人生”为主题的中医特色义诊活动。巴州区经济科技支部赴巴州区西城街道云屏社区开展“关爱劳动者心理健康进社区”宣传活动。巴州区文教卫生支部组织开展“消除艾梅乙</w:t>
      </w:r>
      <w:bookmarkStart w:id="74" w:name="OfficeAI_Add_33_379"/>
      <w:r>
        <w:rPr>
          <w:rFonts w:hint="eastAsia" w:ascii="仿宋" w:hAnsi="仿宋" w:eastAsia="仿宋" w:cs="仿宋_GB2312"/>
          <w:snapToGrid w:val="0"/>
          <w:sz w:val="32"/>
          <w:szCs w:val="32"/>
        </w:rPr>
        <w:t>母婴传播</w:t>
      </w:r>
      <w:bookmarkEnd w:id="74"/>
      <w:r>
        <w:rPr>
          <w:rFonts w:hint="eastAsia" w:ascii="仿宋" w:hAnsi="仿宋" w:eastAsia="仿宋" w:cs="仿宋_GB2312"/>
          <w:snapToGrid w:val="0"/>
          <w:sz w:val="32"/>
          <w:szCs w:val="32"/>
        </w:rPr>
        <w:t>”宣传活动。恩阳区卫生综合支部走进巴中博文学校附属幼</w:t>
      </w:r>
      <w:bookmarkStart w:id="75" w:name="OfficeAI_Del_33_409"/>
      <w:r>
        <w:rPr>
          <w:rFonts w:hint="eastAsia" w:ascii="仿宋" w:hAnsi="仿宋" w:eastAsia="仿宋" w:cs="仿宋_GB2312"/>
          <w:snapToGrid w:val="0"/>
          <w:sz w:val="32"/>
          <w:szCs w:val="32"/>
        </w:rPr>
        <w:t>稚</w:t>
      </w:r>
      <w:bookmarkEnd w:id="75"/>
      <w:r>
        <w:rPr>
          <w:rFonts w:hint="eastAsia" w:ascii="仿宋" w:hAnsi="仿宋" w:eastAsia="仿宋" w:cs="仿宋_GB2312"/>
          <w:snapToGrid w:val="0"/>
          <w:sz w:val="32"/>
          <w:szCs w:val="32"/>
        </w:rPr>
        <w:t>园开展“儿童健康开学第一课”活动，前往恩阳区花丛镇中心卫生院开展送医下乡义诊活动。市文化教育支部赴恩阳区职业中学开展“送教下基层”活动等等。一系列社会服务活动的开展，彰显农工党界别特色与民生情怀。</w:t>
      </w:r>
    </w:p>
    <w:p>
      <w:pPr>
        <w:spacing w:line="558" w:lineRule="exact"/>
        <w:ind w:firstLine="643"/>
        <w:rPr>
          <w:rFonts w:ascii="仿宋" w:hAnsi="仿宋" w:eastAsia="仿宋" w:cs="仿宋"/>
          <w:b/>
          <w:sz w:val="32"/>
          <w:szCs w:val="32"/>
        </w:rPr>
      </w:pPr>
      <w:r>
        <w:rPr>
          <w:rFonts w:hint="eastAsia" w:ascii="仿宋" w:hAnsi="仿宋" w:eastAsia="仿宋" w:cs="仿宋"/>
          <w:b/>
          <w:sz w:val="32"/>
          <w:szCs w:val="32"/>
        </w:rPr>
        <w:t>2.预算管理</w:t>
      </w:r>
    </w:p>
    <w:p>
      <w:pPr>
        <w:spacing w:line="558" w:lineRule="exact"/>
        <w:ind w:firstLine="640"/>
        <w:rPr>
          <w:rFonts w:ascii="仿宋" w:hAnsi="仿宋" w:eastAsia="仿宋" w:cs="仿宋"/>
          <w:sz w:val="32"/>
          <w:szCs w:val="32"/>
        </w:rPr>
      </w:pPr>
      <w:r>
        <w:rPr>
          <w:rFonts w:hint="eastAsia" w:ascii="仿宋" w:hAnsi="仿宋" w:eastAsia="仿宋" w:cs="仿宋"/>
          <w:sz w:val="32"/>
          <w:szCs w:val="32"/>
        </w:rPr>
        <w:t>我单位严格按照《中华人民共和国预算法》深化预算管理改革，强化预算管理，注重预算绩效目标事前、事中和事后管理，建立健全预算绩效目标管理考核监督机制，将各科室预算绩效管理工作纳入了部门年度绩效考核，为预算绩效管理制度落实落地提供了坚实保障。</w:t>
      </w:r>
    </w:p>
    <w:p>
      <w:pPr>
        <w:spacing w:line="558" w:lineRule="exact"/>
        <w:ind w:firstLine="640"/>
        <w:rPr>
          <w:rFonts w:ascii="仿宋" w:hAnsi="仿宋" w:eastAsia="仿宋" w:cs="仿宋"/>
          <w:sz w:val="32"/>
          <w:szCs w:val="32"/>
        </w:rPr>
      </w:pPr>
      <w:r>
        <w:rPr>
          <w:rFonts w:hint="eastAsia" w:ascii="仿宋" w:hAnsi="仿宋" w:eastAsia="仿宋" w:cs="仿宋"/>
          <w:sz w:val="32"/>
          <w:szCs w:val="32"/>
        </w:rPr>
        <w:t>预算编制方面。我单位严格按编制年初部门预算要求，坚持稳中求进，持续优化财政支出结构，强化财政资源统筹，细化项目目标任务，精准编制年初预算，保障了“三保”等刚性支出和教育、社保等重点民生支出，保障了我单位正常履职运转必要支出。</w:t>
      </w:r>
    </w:p>
    <w:p>
      <w:pPr>
        <w:spacing w:line="558" w:lineRule="exact"/>
        <w:ind w:firstLine="640"/>
        <w:rPr>
          <w:rFonts w:ascii="仿宋" w:hAnsi="仿宋" w:eastAsia="仿宋" w:cs="仿宋"/>
          <w:sz w:val="32"/>
          <w:szCs w:val="32"/>
        </w:rPr>
      </w:pPr>
      <w:r>
        <w:rPr>
          <w:rFonts w:hint="eastAsia" w:ascii="仿宋" w:hAnsi="仿宋" w:eastAsia="仿宋" w:cs="仿宋"/>
          <w:sz w:val="32"/>
          <w:szCs w:val="32"/>
        </w:rPr>
        <w:t>预算执行方面。我单位将部门预算收入统筹纳入财政监管，所有支出严格按照财政国库支付中心要求及经济业务实际执行支付进度。全年厉行节约反对浪费，压缩“三公”经费支出。全面实现支付，无年终结余，支付率达100%。</w:t>
      </w:r>
    </w:p>
    <w:p>
      <w:pPr>
        <w:spacing w:line="560" w:lineRule="exact"/>
        <w:ind w:firstLine="643"/>
        <w:rPr>
          <w:rFonts w:ascii="仿宋" w:hAnsi="仿宋" w:eastAsia="仿宋" w:cs="仿宋"/>
          <w:b/>
          <w:sz w:val="32"/>
          <w:szCs w:val="32"/>
        </w:rPr>
      </w:pPr>
      <w:r>
        <w:rPr>
          <w:rFonts w:hint="eastAsia" w:ascii="仿宋" w:hAnsi="仿宋" w:eastAsia="仿宋" w:cs="仿宋"/>
          <w:b/>
          <w:sz w:val="32"/>
          <w:szCs w:val="32"/>
        </w:rPr>
        <w:t>3.财务管理</w:t>
      </w:r>
    </w:p>
    <w:p>
      <w:pPr>
        <w:spacing w:line="560" w:lineRule="exact"/>
        <w:ind w:firstLine="640"/>
        <w:rPr>
          <w:rFonts w:ascii="仿宋" w:hAnsi="仿宋" w:eastAsia="仿宋" w:cs="仿宋"/>
          <w:sz w:val="32"/>
          <w:szCs w:val="32"/>
        </w:rPr>
      </w:pPr>
      <w:r>
        <w:rPr>
          <w:rFonts w:hint="eastAsia" w:ascii="仿宋" w:hAnsi="仿宋" w:eastAsia="仿宋"/>
          <w:sz w:val="32"/>
          <w:szCs w:val="32"/>
        </w:rPr>
        <w:t>我单位制定了《财务管理制度》，</w:t>
      </w:r>
      <w:r>
        <w:rPr>
          <w:rFonts w:hint="eastAsia" w:ascii="仿宋" w:hAnsi="仿宋" w:eastAsia="仿宋"/>
          <w:sz w:val="32"/>
          <w:szCs w:val="32"/>
          <w:lang w:val="zh-CN"/>
        </w:rPr>
        <w:t>财务管理机制健全，严格执行巴中市市级机关差旅费、会议费、培训费等管理办法，账务处理及时，会计核算规范。设置会计、出纳、资产管理员等岗位，基本实现不相容职务分离。资金使用控制在预算额度内，严格审核支出合规性。</w:t>
      </w:r>
    </w:p>
    <w:p>
      <w:pPr>
        <w:spacing w:line="560" w:lineRule="exact"/>
        <w:ind w:firstLine="643"/>
        <w:rPr>
          <w:rFonts w:ascii="仿宋" w:hAnsi="仿宋" w:eastAsia="仿宋" w:cs="仿宋"/>
          <w:b/>
          <w:sz w:val="32"/>
          <w:szCs w:val="32"/>
        </w:rPr>
      </w:pPr>
      <w:r>
        <w:rPr>
          <w:rFonts w:hint="eastAsia" w:ascii="仿宋" w:hAnsi="仿宋" w:eastAsia="仿宋" w:cs="仿宋"/>
          <w:b/>
          <w:sz w:val="32"/>
          <w:szCs w:val="32"/>
        </w:rPr>
        <w:t>4.资产管理</w:t>
      </w:r>
    </w:p>
    <w:p>
      <w:pPr>
        <w:spacing w:line="560" w:lineRule="exact"/>
        <w:ind w:firstLine="640"/>
        <w:rPr>
          <w:rFonts w:ascii="仿宋" w:hAnsi="仿宋" w:eastAsia="仿宋" w:cs="仿宋"/>
          <w:sz w:val="32"/>
          <w:szCs w:val="32"/>
        </w:rPr>
      </w:pPr>
      <w:r>
        <w:rPr>
          <w:rFonts w:hint="eastAsia" w:ascii="仿宋" w:hAnsi="仿宋" w:eastAsia="仿宋" w:cs="仿宋"/>
          <w:sz w:val="32"/>
          <w:szCs w:val="32"/>
        </w:rPr>
        <w:t>我单位严格按照政府性资产管理办法，加强和规范单位资产管理，对单位所有资产进行卡片登记，对资产购置、资产使用、资产核算及资产处置采用信息化手段实行动态管理。2026年我单位将根据资产现有情况调整核实闲置低效资产进行处置报废，提高资产利用率及资产盘活率，资产合理配置，提高资产使用效益。</w:t>
      </w:r>
    </w:p>
    <w:p>
      <w:pPr>
        <w:spacing w:line="560" w:lineRule="exact"/>
        <w:ind w:firstLine="643"/>
        <w:rPr>
          <w:rFonts w:ascii="仿宋" w:hAnsi="仿宋" w:eastAsia="仿宋" w:cs="仿宋"/>
          <w:b/>
          <w:sz w:val="32"/>
          <w:szCs w:val="32"/>
        </w:rPr>
      </w:pPr>
      <w:r>
        <w:rPr>
          <w:rFonts w:hint="eastAsia" w:ascii="仿宋" w:hAnsi="仿宋" w:eastAsia="仿宋" w:cs="仿宋"/>
          <w:b/>
          <w:sz w:val="32"/>
          <w:szCs w:val="32"/>
        </w:rPr>
        <w:t>5.采购管理</w:t>
      </w:r>
    </w:p>
    <w:p>
      <w:pPr>
        <w:spacing w:line="560" w:lineRule="exact"/>
        <w:ind w:firstLine="640"/>
        <w:rPr>
          <w:rFonts w:ascii="仿宋" w:hAnsi="仿宋" w:eastAsia="仿宋" w:cs="仿宋"/>
          <w:sz w:val="32"/>
          <w:szCs w:val="32"/>
        </w:rPr>
      </w:pPr>
      <w:r>
        <w:rPr>
          <w:rFonts w:hint="eastAsia" w:ascii="仿宋" w:hAnsi="仿宋" w:eastAsia="仿宋" w:cs="仿宋"/>
          <w:sz w:val="32"/>
          <w:szCs w:val="32"/>
        </w:rPr>
        <w:t>我单位严格执行政府采购制度，强化政府采购管理工作，将凡属政府采购范围和额度范围的采购，全部按规定纳入了政府采购范围，采购执行率100%。</w:t>
      </w:r>
    </w:p>
    <w:p>
      <w:pPr>
        <w:spacing w:line="560" w:lineRule="exact"/>
        <w:ind w:firstLine="643"/>
        <w:rPr>
          <w:rFonts w:ascii="楷体" w:hAnsi="楷体" w:eastAsia="楷体" w:cs="楷体"/>
          <w:b/>
          <w:bCs/>
          <w:sz w:val="32"/>
          <w:szCs w:val="32"/>
        </w:rPr>
      </w:pPr>
      <w:r>
        <w:rPr>
          <w:rFonts w:hint="eastAsia" w:ascii="楷体" w:hAnsi="楷体" w:eastAsia="楷体" w:cs="楷体"/>
          <w:b/>
          <w:bCs/>
          <w:sz w:val="32"/>
          <w:szCs w:val="32"/>
        </w:rPr>
        <w:t>（二）部门预算项目绩效分析</w:t>
      </w:r>
    </w:p>
    <w:p>
      <w:pPr>
        <w:spacing w:line="560" w:lineRule="exact"/>
        <w:ind w:firstLine="640"/>
        <w:rPr>
          <w:rFonts w:ascii="仿宋" w:hAnsi="仿宋" w:eastAsia="仿宋" w:cs="仿宋"/>
          <w:sz w:val="32"/>
          <w:szCs w:val="32"/>
        </w:rPr>
      </w:pPr>
      <w:r>
        <w:rPr>
          <w:rFonts w:hint="eastAsia" w:ascii="仿宋" w:hAnsi="仿宋" w:eastAsia="仿宋" w:cs="仿宋"/>
          <w:sz w:val="32"/>
          <w:szCs w:val="32"/>
        </w:rPr>
        <w:t>2025年，我单位常年项目6个，涉及预算金额35.22万元，1-12月预算执行总体进度为100%。</w:t>
      </w:r>
    </w:p>
    <w:p>
      <w:pPr>
        <w:spacing w:line="560" w:lineRule="exact"/>
        <w:ind w:firstLine="640"/>
        <w:rPr>
          <w:rFonts w:ascii="仿宋" w:hAnsi="仿宋" w:eastAsia="仿宋" w:cs="仿宋"/>
          <w:sz w:val="32"/>
          <w:szCs w:val="32"/>
        </w:rPr>
      </w:pPr>
      <w:r>
        <w:rPr>
          <w:rFonts w:hint="eastAsia" w:ascii="仿宋" w:hAnsi="仿宋" w:eastAsia="仿宋" w:cs="仿宋"/>
          <w:sz w:val="32"/>
          <w:szCs w:val="32"/>
        </w:rPr>
        <w:t>1.项目决策。我单位高度重视项目决策管理，已建立涵盖项目绩效目标设立、项目申报等相关机制，对特定目标类项目申报中：</w:t>
      </w:r>
    </w:p>
    <w:p>
      <w:pPr>
        <w:spacing w:line="560" w:lineRule="exact"/>
        <w:ind w:firstLine="313"/>
        <w:rPr>
          <w:rFonts w:ascii="仿宋" w:hAnsi="仿宋" w:eastAsia="仿宋" w:cs="仿宋"/>
          <w:sz w:val="32"/>
          <w:szCs w:val="32"/>
        </w:rPr>
      </w:pPr>
      <w:r>
        <w:rPr>
          <w:rFonts w:hint="eastAsia" w:ascii="仿宋" w:hAnsi="仿宋" w:eastAsia="仿宋" w:cs="仿宋"/>
          <w:sz w:val="32"/>
          <w:szCs w:val="32"/>
        </w:rPr>
        <w:t xml:space="preserve">（1）前期信息收集与目标设定：由业务科室全面收入项目实施的政策依据，深入研究政策导向与支持力度，确保项目符合宏观政策要求。同时，精准梳理预期效果目标，从项目的预期产出、带来的效益等多维度考量。基于收集的信息，结合项目职能，科学合理地设定绩效目标任务，并进一步细化数量指标、质量指标、成本指标、时效指标及效益指标，使绩效目标可量化、可考核。 </w:t>
      </w:r>
    </w:p>
    <w:p>
      <w:pPr>
        <w:spacing w:line="560" w:lineRule="exact"/>
        <w:ind w:firstLine="320"/>
        <w:rPr>
          <w:rFonts w:ascii="仿宋" w:hAnsi="仿宋" w:eastAsia="仿宋" w:cs="仿宋"/>
          <w:sz w:val="32"/>
          <w:szCs w:val="32"/>
        </w:rPr>
      </w:pPr>
      <w:r>
        <w:rPr>
          <w:rFonts w:hint="eastAsia" w:ascii="仿宋" w:hAnsi="仿宋" w:eastAsia="仿宋" w:cs="仿宋"/>
          <w:sz w:val="32"/>
          <w:szCs w:val="32"/>
        </w:rPr>
        <w:t>（2）后续统筹整合：办公室在业务科室工作基础上，发挥统筹协调作用，对业务科室提交的项目资料进行汇总整合，从全单位角度审视项目之间的关联性、资源分配的合理性。依据单位整体战略规划和资源情况，对项目绩效目标进行进一步审核与调整，确保各项目目标与单位整体目标一致，避免资源冲突与浪费，提升项目决策的科学性与合理性。</w:t>
      </w:r>
    </w:p>
    <w:p>
      <w:pPr>
        <w:spacing w:line="560" w:lineRule="exact"/>
        <w:ind w:firstLine="640"/>
        <w:rPr>
          <w:rFonts w:ascii="仿宋" w:hAnsi="仿宋" w:eastAsia="仿宋" w:cs="仿宋"/>
          <w:sz w:val="32"/>
          <w:szCs w:val="32"/>
        </w:rPr>
      </w:pPr>
      <w:r>
        <w:rPr>
          <w:rFonts w:hint="eastAsia" w:ascii="仿宋" w:hAnsi="仿宋" w:eastAsia="仿宋" w:cs="仿宋"/>
          <w:sz w:val="32"/>
          <w:szCs w:val="32"/>
        </w:rPr>
        <w:t>2.项目执行。我单位紧紧围绕部门职能职责，以预算资金管理为主线，对项目绩效项目标实行有效监控，使资金使用内容、范围及方向与绩效目标设定高度一致。</w:t>
      </w:r>
    </w:p>
    <w:p>
      <w:pPr>
        <w:spacing w:line="560" w:lineRule="exact"/>
        <w:ind w:firstLine="640"/>
        <w:rPr>
          <w:rFonts w:ascii="仿宋" w:hAnsi="仿宋" w:eastAsia="仿宋" w:cs="仿宋"/>
          <w:sz w:val="32"/>
          <w:szCs w:val="32"/>
        </w:rPr>
      </w:pPr>
      <w:r>
        <w:rPr>
          <w:rFonts w:hint="eastAsia" w:ascii="仿宋" w:hAnsi="仿宋" w:eastAsia="仿宋" w:cs="仿宋"/>
          <w:sz w:val="32"/>
          <w:szCs w:val="32"/>
        </w:rPr>
        <w:t>3.目标实现。全年完成“三保”刚性支出105.50万元，完成常年项目支出35.22万元。其中：2个项目实现预期设定的数量指标、时效指标、质量指标及效益指标，与预期目标一致无偏离情况。</w:t>
      </w:r>
    </w:p>
    <w:p>
      <w:pPr>
        <w:spacing w:line="560" w:lineRule="exact"/>
        <w:ind w:firstLine="643"/>
        <w:rPr>
          <w:rFonts w:ascii="楷体" w:hAnsi="楷体" w:eastAsia="楷体" w:cs="楷体"/>
          <w:b/>
          <w:bCs/>
          <w:sz w:val="32"/>
          <w:szCs w:val="32"/>
        </w:rPr>
      </w:pPr>
      <w:r>
        <w:rPr>
          <w:rFonts w:hint="eastAsia" w:ascii="楷体" w:hAnsi="楷体" w:eastAsia="楷体" w:cs="楷体"/>
          <w:b/>
          <w:bCs/>
          <w:sz w:val="32"/>
          <w:szCs w:val="32"/>
        </w:rPr>
        <w:t>（三）绩效结果应用情况。</w:t>
      </w:r>
    </w:p>
    <w:p>
      <w:pPr>
        <w:pStyle w:val="37"/>
        <w:spacing w:line="560" w:lineRule="exact"/>
        <w:ind w:firstLine="640"/>
        <w:rPr>
          <w:rFonts w:ascii="仿宋" w:hAnsi="仿宋" w:eastAsia="仿宋" w:cs="仿宋"/>
          <w:sz w:val="32"/>
          <w:szCs w:val="32"/>
        </w:rPr>
      </w:pPr>
      <w:r>
        <w:rPr>
          <w:rFonts w:hint="eastAsia" w:ascii="仿宋" w:hAnsi="仿宋" w:eastAsia="仿宋" w:cs="仿宋"/>
          <w:sz w:val="32"/>
          <w:szCs w:val="32"/>
        </w:rPr>
        <w:t>绩效评价结果应用。一是绩效评价结果将作为部门年度预算申报及预算调整依据之一，对评价结果差的项目，严格执行预算资金调整与收回机制，确保资金向绩效良好、符合战略重点的项目倾斜。来年编制预算时，基于项目过往绩效表现，合理调减评价结果差的项目预算额度，同时要求项目科室在申报预算时详细说明改进措施及预期绩效提升目标，增强预算安排的科学性与有效性。</w:t>
      </w:r>
    </w:p>
    <w:p>
      <w:pPr>
        <w:spacing w:line="560" w:lineRule="exact"/>
        <w:ind w:firstLine="640"/>
        <w:rPr>
          <w:rFonts w:ascii="黑体" w:hAnsi="黑体" w:eastAsia="黑体" w:cs="黑体"/>
          <w:sz w:val="32"/>
          <w:szCs w:val="32"/>
        </w:rPr>
      </w:pPr>
      <w:r>
        <w:rPr>
          <w:rFonts w:hint="eastAsia" w:ascii="黑体" w:hAnsi="黑体" w:eastAsia="黑体" w:cs="黑体"/>
          <w:sz w:val="32"/>
          <w:szCs w:val="32"/>
        </w:rPr>
        <w:t>四、评价结论</w:t>
      </w:r>
    </w:p>
    <w:p>
      <w:pPr>
        <w:pStyle w:val="38"/>
        <w:spacing w:line="560" w:lineRule="exact"/>
        <w:ind w:firstLine="640"/>
        <w:rPr>
          <w:rFonts w:ascii="仿宋" w:hAnsi="仿宋" w:eastAsia="仿宋" w:cs="仿宋"/>
          <w:sz w:val="32"/>
          <w:szCs w:val="32"/>
        </w:rPr>
      </w:pPr>
      <w:r>
        <w:rPr>
          <w:rFonts w:hint="eastAsia" w:ascii="仿宋" w:hAnsi="仿宋" w:eastAsia="仿宋" w:cs="仿宋"/>
          <w:sz w:val="32"/>
          <w:szCs w:val="32"/>
        </w:rPr>
        <w:t>2025年度履职效能方面得分18分、预算管理方面得分19分、财务管理方面得分9.5分、资产管理方面得分8分、采购管理方面得分6分、项目决策方面得分11.5分，项目执行方面得分12分,目标实现方面得分11分,部门预算（整体）绩效自评结果综合得分95分，评价等级为优秀。</w:t>
      </w:r>
    </w:p>
    <w:p>
      <w:pPr>
        <w:spacing w:line="560" w:lineRule="exact"/>
        <w:ind w:firstLine="640"/>
        <w:rPr>
          <w:rFonts w:ascii="黑体" w:hAnsi="黑体" w:eastAsia="黑体" w:cs="黑体"/>
          <w:sz w:val="32"/>
          <w:szCs w:val="32"/>
        </w:rPr>
      </w:pPr>
      <w:r>
        <w:rPr>
          <w:rFonts w:hint="eastAsia" w:ascii="黑体" w:hAnsi="黑体" w:eastAsia="黑体" w:cs="黑体"/>
          <w:sz w:val="32"/>
          <w:szCs w:val="32"/>
        </w:rPr>
        <w:t>五、存在的问题和建议</w:t>
      </w:r>
    </w:p>
    <w:p>
      <w:pPr>
        <w:spacing w:line="560" w:lineRule="exact"/>
        <w:ind w:firstLine="643"/>
        <w:rPr>
          <w:rFonts w:ascii="楷体" w:hAnsi="楷体" w:eastAsia="楷体" w:cs="楷体"/>
          <w:b/>
          <w:bCs/>
          <w:sz w:val="32"/>
          <w:szCs w:val="32"/>
        </w:rPr>
      </w:pPr>
      <w:r>
        <w:rPr>
          <w:rFonts w:hint="eastAsia" w:ascii="楷体" w:hAnsi="楷体" w:eastAsia="楷体" w:cs="楷体"/>
          <w:b/>
          <w:bCs/>
          <w:sz w:val="32"/>
          <w:szCs w:val="32"/>
        </w:rPr>
        <w:t>（一）存在问题</w:t>
      </w:r>
    </w:p>
    <w:p>
      <w:pPr>
        <w:pStyle w:val="16"/>
        <w:spacing w:line="560" w:lineRule="exact"/>
        <w:ind w:firstLine="640"/>
        <w:jc w:val="both"/>
        <w:rPr>
          <w:rFonts w:ascii="仿宋" w:hAnsi="仿宋" w:eastAsia="仿宋" w:cs="仿宋"/>
          <w:sz w:val="32"/>
          <w:szCs w:val="32"/>
        </w:rPr>
      </w:pPr>
      <w:r>
        <w:rPr>
          <w:rFonts w:hint="eastAsia" w:ascii="仿宋" w:hAnsi="仿宋" w:eastAsia="仿宋" w:cs="仿宋"/>
          <w:sz w:val="32"/>
          <w:szCs w:val="32"/>
        </w:rPr>
        <w:t>预算绩效信息化系统建设有待进一步提高。我单位在绩效管理信息系统建设方面还存在系统建设薄弱、缺乏智能系统支持信息共享等问题。</w:t>
      </w:r>
    </w:p>
    <w:p>
      <w:pPr>
        <w:spacing w:line="560" w:lineRule="exact"/>
        <w:ind w:firstLine="643"/>
        <w:rPr>
          <w:rFonts w:ascii="楷体" w:hAnsi="楷体" w:eastAsia="楷体" w:cs="楷体"/>
          <w:b/>
          <w:bCs/>
          <w:sz w:val="32"/>
          <w:szCs w:val="32"/>
        </w:rPr>
      </w:pPr>
      <w:r>
        <w:rPr>
          <w:rFonts w:hint="eastAsia" w:ascii="楷体" w:hAnsi="楷体" w:eastAsia="楷体" w:cs="楷体"/>
          <w:b/>
          <w:bCs/>
          <w:sz w:val="32"/>
          <w:szCs w:val="32"/>
        </w:rPr>
        <w:t>（二）改进建议</w:t>
      </w:r>
    </w:p>
    <w:p>
      <w:pPr>
        <w:pStyle w:val="16"/>
        <w:spacing w:line="560" w:lineRule="exact"/>
        <w:ind w:firstLine="640"/>
        <w:jc w:val="both"/>
        <w:rPr>
          <w:rFonts w:hint="eastAsia" w:ascii="仿宋" w:hAnsi="仿宋" w:eastAsia="仿宋" w:cs="仿宋"/>
          <w:sz w:val="32"/>
          <w:szCs w:val="32"/>
        </w:rPr>
      </w:pPr>
      <w:r>
        <w:rPr>
          <w:rFonts w:hint="eastAsia" w:ascii="仿宋" w:hAnsi="仿宋" w:eastAsia="仿宋" w:cs="仿宋"/>
          <w:sz w:val="32"/>
          <w:szCs w:val="32"/>
        </w:rPr>
        <w:t>今后我单位进一步加强预算绩效管理信息化建设，加强单位内部业务科室间互联互通，实现科室间信息的无缝流转，确保业务协同顺畅，提升工作效率；加强外部系统间互联互通，实现外部系统间的信息交换与资源共享，打破信息孤岛，为单位预算绩效管理提供更全面、及时的数据支撑；引入智能化的数据处理工具和系统，实现绩效管理数据的自动收集、精准处理与深度分析，借助大数据分析挖掘数据价值，为预算绩效提供科学、精准的决策支持，全面提升绩效管理的效率与准确性。</w:t>
      </w:r>
    </w:p>
    <w:p>
      <w:pPr>
        <w:pStyle w:val="16"/>
        <w:spacing w:line="560" w:lineRule="exact"/>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附件：部门预算项目支出绩效自评表（</w:t>
      </w:r>
      <w:r>
        <w:rPr>
          <w:rFonts w:hint="eastAsia" w:ascii="仿宋" w:hAnsi="仿宋" w:eastAsia="仿宋" w:cs="仿宋"/>
          <w:sz w:val="32"/>
          <w:szCs w:val="32"/>
          <w:lang w:val="en-US" w:eastAsia="zh-CN"/>
        </w:rPr>
        <w:t>2025年度</w:t>
      </w:r>
      <w:r>
        <w:rPr>
          <w:rFonts w:hint="eastAsia" w:ascii="仿宋" w:hAnsi="仿宋" w:eastAsia="仿宋" w:cs="仿宋"/>
          <w:sz w:val="32"/>
          <w:szCs w:val="32"/>
          <w:lang w:eastAsia="zh-CN"/>
        </w:rPr>
        <w:t>）</w:t>
      </w: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both"/>
        <w:rPr>
          <w:rFonts w:hint="eastAsia" w:ascii="Times New Roman" w:hAnsi="Times New Roman" w:eastAsia="黑体"/>
          <w:color w:val="auto"/>
          <w:sz w:val="44"/>
          <w:szCs w:val="44"/>
          <w:highlight w:val="none"/>
        </w:rPr>
      </w:pPr>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五部分 附表</w:t>
      </w:r>
      <w:bookmarkEnd w:id="42"/>
      <w:bookmarkEnd w:id="44"/>
      <w:bookmarkStart w:id="76" w:name="_Toc1539661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76"/>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7" w:name="_Toc15396620"/>
      <w:r>
        <w:rPr>
          <w:rFonts w:hint="eastAsia" w:ascii="Times New Roman" w:hAnsi="Times New Roman" w:eastAsia="仿宋_GB2312" w:cs="仿宋_GB2312"/>
          <w:color w:val="auto"/>
          <w:sz w:val="32"/>
          <w:szCs w:val="32"/>
          <w:highlight w:val="none"/>
        </w:rPr>
        <w:t>二、收入决算表</w:t>
      </w:r>
      <w:bookmarkEnd w:id="77"/>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8" w:name="_Toc15396621"/>
      <w:r>
        <w:rPr>
          <w:rFonts w:hint="eastAsia" w:ascii="Times New Roman" w:hAnsi="Times New Roman" w:eastAsia="仿宋_GB2312" w:cs="仿宋_GB2312"/>
          <w:color w:val="auto"/>
          <w:sz w:val="32"/>
          <w:szCs w:val="32"/>
          <w:highlight w:val="none"/>
        </w:rPr>
        <w:t>三、支出决算表</w:t>
      </w:r>
      <w:bookmarkEnd w:id="78"/>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9" w:name="_Toc15396622"/>
      <w:r>
        <w:rPr>
          <w:rFonts w:hint="eastAsia" w:ascii="Times New Roman" w:hAnsi="Times New Roman" w:eastAsia="仿宋_GB2312" w:cs="仿宋_GB2312"/>
          <w:color w:val="auto"/>
          <w:sz w:val="32"/>
          <w:szCs w:val="32"/>
          <w:highlight w:val="none"/>
        </w:rPr>
        <w:t>四、财政拨款收入支出决算总表</w:t>
      </w:r>
      <w:bookmarkEnd w:id="7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0" w:name="_Toc15396623"/>
      <w:r>
        <w:rPr>
          <w:rFonts w:hint="eastAsia" w:ascii="Times New Roman" w:hAnsi="Times New Roman" w:eastAsia="仿宋_GB2312" w:cs="仿宋_GB2312"/>
          <w:color w:val="auto"/>
          <w:sz w:val="32"/>
          <w:szCs w:val="32"/>
          <w:highlight w:val="none"/>
        </w:rPr>
        <w:t>五、财政拨款支出决算明细表</w:t>
      </w:r>
      <w:bookmarkEnd w:id="80"/>
      <w:bookmarkStart w:id="81" w:name="_Toc1539662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81"/>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2" w:name="_Toc15396625"/>
      <w:r>
        <w:rPr>
          <w:rFonts w:hint="eastAsia" w:ascii="Times New Roman" w:hAnsi="Times New Roman" w:eastAsia="仿宋_GB2312" w:cs="仿宋_GB2312"/>
          <w:color w:val="auto"/>
          <w:sz w:val="32"/>
          <w:szCs w:val="32"/>
          <w:highlight w:val="none"/>
        </w:rPr>
        <w:t>七、一般公共预算财政拨款支出决算明细表</w:t>
      </w:r>
      <w:bookmarkEnd w:id="82"/>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3" w:name="_Toc15396626"/>
      <w:r>
        <w:rPr>
          <w:rFonts w:hint="eastAsia" w:ascii="Times New Roman" w:hAnsi="Times New Roman" w:eastAsia="仿宋_GB2312" w:cs="仿宋_GB2312"/>
          <w:color w:val="auto"/>
          <w:sz w:val="32"/>
          <w:szCs w:val="32"/>
          <w:highlight w:val="none"/>
        </w:rPr>
        <w:t>八、一般公共预算财政拨款基本支出决算表</w:t>
      </w:r>
      <w:bookmarkEnd w:id="83"/>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4" w:name="_Toc15396627"/>
      <w:r>
        <w:rPr>
          <w:rFonts w:hint="eastAsia" w:ascii="Times New Roman" w:hAnsi="Times New Roman" w:eastAsia="仿宋_GB2312" w:cs="仿宋_GB2312"/>
          <w:color w:val="auto"/>
          <w:sz w:val="32"/>
          <w:szCs w:val="32"/>
          <w:highlight w:val="none"/>
        </w:rPr>
        <w:t>九、一般公共预算财政拨款项目支出决算表</w:t>
      </w:r>
      <w:bookmarkEnd w:id="8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5" w:name="_Toc15396628"/>
      <w:r>
        <w:rPr>
          <w:rFonts w:hint="eastAsia" w:ascii="Times New Roman" w:hAnsi="Times New Roman" w:eastAsia="仿宋_GB2312" w:cs="仿宋_GB2312"/>
          <w:color w:val="auto"/>
          <w:sz w:val="32"/>
          <w:szCs w:val="32"/>
          <w:highlight w:val="none"/>
        </w:rPr>
        <w:t>十、</w:t>
      </w:r>
      <w:bookmarkEnd w:id="85"/>
      <w:r>
        <w:rPr>
          <w:rFonts w:hint="eastAsia" w:ascii="Times New Roman" w:hAnsi="Times New Roman" w:eastAsia="仿宋_GB2312" w:cs="仿宋_GB2312"/>
          <w:color w:val="auto"/>
          <w:sz w:val="32"/>
          <w:szCs w:val="32"/>
          <w:highlight w:val="none"/>
        </w:rPr>
        <w:t>政府性基金预算财政拨款收入支出决算表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6" w:name="_Toc15396629"/>
      <w:r>
        <w:rPr>
          <w:rFonts w:hint="eastAsia" w:ascii="Times New Roman" w:hAnsi="Times New Roman" w:eastAsia="仿宋_GB2312" w:cs="仿宋_GB2312"/>
          <w:color w:val="auto"/>
          <w:sz w:val="32"/>
          <w:szCs w:val="32"/>
          <w:highlight w:val="none"/>
        </w:rPr>
        <w:t>十一、</w:t>
      </w:r>
      <w:bookmarkEnd w:id="86"/>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7" w:name="_Toc15396630"/>
      <w:r>
        <w:rPr>
          <w:rFonts w:hint="eastAsia" w:ascii="Times New Roman" w:hAnsi="Times New Roman" w:eastAsia="仿宋_GB2312" w:cs="仿宋_GB2312"/>
          <w:color w:val="auto"/>
          <w:sz w:val="32"/>
          <w:szCs w:val="32"/>
          <w:highlight w:val="none"/>
        </w:rPr>
        <w:t>十二、</w:t>
      </w:r>
      <w:bookmarkEnd w:id="87"/>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88" w:name="_Toc15396631"/>
      <w:r>
        <w:rPr>
          <w:rFonts w:hint="eastAsia" w:ascii="Times New Roman" w:hAnsi="Times New Roman" w:eastAsia="仿宋_GB2312" w:cs="仿宋_GB2312"/>
          <w:color w:val="auto"/>
          <w:sz w:val="32"/>
          <w:szCs w:val="32"/>
          <w:highlight w:val="none"/>
        </w:rPr>
        <w:t>十三、</w:t>
      </w:r>
      <w:bookmarkEnd w:id="88"/>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9F31946-93C5-4982-8233-0138DDE060F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AA73A17E-4BB1-40E0-B4C1-5122A541C4DA}"/>
  </w:font>
  <w:font w:name="仿宋">
    <w:panose1 w:val="02010609060101010101"/>
    <w:charset w:val="86"/>
    <w:family w:val="auto"/>
    <w:pitch w:val="default"/>
    <w:sig w:usb0="800002BF" w:usb1="38CF7CFA" w:usb2="00000016" w:usb3="00000000" w:csb0="00040001" w:csb1="00000000"/>
    <w:embedRegular r:id="rId3" w:fontKey="{F209681D-8B70-48B5-8B15-6198F84A0C25}"/>
  </w:font>
  <w:font w:name="??">
    <w:altName w:val="Segoe Print"/>
    <w:panose1 w:val="00000000000000000000"/>
    <w:charset w:val="00"/>
    <w:family w:val="roman"/>
    <w:pitch w:val="default"/>
    <w:sig w:usb0="00000000" w:usb1="00000000" w:usb2="00000000" w:usb3="00000000" w:csb0="00000000" w:csb1="00000000"/>
  </w:font>
  <w:font w:name="方正小标宋简体">
    <w:panose1 w:val="02010601030101010101"/>
    <w:charset w:val="86"/>
    <w:family w:val="script"/>
    <w:pitch w:val="default"/>
    <w:sig w:usb0="00000001" w:usb1="080E0000" w:usb2="00000000" w:usb3="00000000" w:csb0="00040000" w:csb1="00000000"/>
    <w:embedRegular r:id="rId4" w:fontKey="{5EDE6E70-0719-40EC-B35F-569B76815CF9}"/>
  </w:font>
  <w:font w:name="微软雅黑">
    <w:panose1 w:val="020B0503020204020204"/>
    <w:charset w:val="86"/>
    <w:family w:val="auto"/>
    <w:pitch w:val="default"/>
    <w:sig w:usb0="80000287" w:usb1="2ACF3C50" w:usb2="00000016" w:usb3="00000000" w:csb0="0004001F" w:csb1="00000000"/>
  </w:font>
  <w:font w:name="楷体_GB2312">
    <w:panose1 w:val="02010609030101010101"/>
    <w:charset w:val="86"/>
    <w:family w:val="auto"/>
    <w:pitch w:val="default"/>
    <w:sig w:usb0="00000001" w:usb1="080E0000" w:usb2="00000000" w:usb3="00000000" w:csb0="00040000" w:csb1="00000000"/>
    <w:embedRegular r:id="rId5" w:fontKey="{4A96ABAE-B1B3-42C1-A0F5-90A47B98B99A}"/>
  </w:font>
  <w:font w:name="方正仿宋简体">
    <w:panose1 w:val="03000509000000000000"/>
    <w:charset w:val="86"/>
    <w:family w:val="auto"/>
    <w:pitch w:val="default"/>
    <w:sig w:usb0="00000001" w:usb1="080E0000" w:usb2="00000000" w:usb3="00000000" w:csb0="00040000" w:csb1="00000000"/>
    <w:embedRegular r:id="rId6" w:fontKey="{C389F26F-0273-4024-85B0-F0BA1C3DE960}"/>
  </w:font>
  <w:font w:name="楷体">
    <w:panose1 w:val="02010609060101010101"/>
    <w:charset w:val="86"/>
    <w:family w:val="auto"/>
    <w:pitch w:val="default"/>
    <w:sig w:usb0="800002BF" w:usb1="38CF7CFA" w:usb2="00000016" w:usb3="00000000" w:csb0="00040001" w:csb1="00000000"/>
    <w:embedRegular r:id="rId7" w:fontKey="{6D841F17-EA95-43CE-A6A7-D7AE4808789B}"/>
  </w:font>
  <w:font w:name="华文仿宋">
    <w:panose1 w:val="02010600040101010101"/>
    <w:charset w:val="86"/>
    <w:family w:val="auto"/>
    <w:pitch w:val="default"/>
    <w:sig w:usb0="00000287" w:usb1="080F0000" w:usb2="00000000" w:usb3="00000000" w:csb0="0004009F" w:csb1="DFD70000"/>
    <w:embedRegular r:id="rId8" w:fontKey="{6A7F87BA-8FF1-40CB-9B7E-74CF772D797A}"/>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R1yZaEwIAABMEAAAOAAAAAAAAAAEA&#10;IAAAAB8BAABkcnMvZTJvRG9jLnhtbFBLBQYAAAAABgAGAFkBAACkBQ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080A12"/>
    <w:rsid w:val="015975B8"/>
    <w:rsid w:val="02317B1B"/>
    <w:rsid w:val="02FEBE30"/>
    <w:rsid w:val="061E35DE"/>
    <w:rsid w:val="066E0107"/>
    <w:rsid w:val="07996F6E"/>
    <w:rsid w:val="07DFD8BA"/>
    <w:rsid w:val="08DB07E4"/>
    <w:rsid w:val="09867E8F"/>
    <w:rsid w:val="0A2032A3"/>
    <w:rsid w:val="0C6C4794"/>
    <w:rsid w:val="0CA8290A"/>
    <w:rsid w:val="0D35B1ED"/>
    <w:rsid w:val="0D815336"/>
    <w:rsid w:val="0DE07E2B"/>
    <w:rsid w:val="0E016F15"/>
    <w:rsid w:val="0F98263C"/>
    <w:rsid w:val="0FCE2FB3"/>
    <w:rsid w:val="101860EC"/>
    <w:rsid w:val="10C055FF"/>
    <w:rsid w:val="11772AA4"/>
    <w:rsid w:val="118107EC"/>
    <w:rsid w:val="123173C2"/>
    <w:rsid w:val="124F633D"/>
    <w:rsid w:val="13D50BC4"/>
    <w:rsid w:val="14022904"/>
    <w:rsid w:val="152F2A07"/>
    <w:rsid w:val="165E0673"/>
    <w:rsid w:val="16BB723D"/>
    <w:rsid w:val="17EA1FFC"/>
    <w:rsid w:val="186504BB"/>
    <w:rsid w:val="1938089F"/>
    <w:rsid w:val="199A42A9"/>
    <w:rsid w:val="19A445FC"/>
    <w:rsid w:val="1B7D550C"/>
    <w:rsid w:val="1BE8440E"/>
    <w:rsid w:val="1D155CEE"/>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8F7316"/>
    <w:rsid w:val="3CEBA265"/>
    <w:rsid w:val="3D98207C"/>
    <w:rsid w:val="3D9B0D99"/>
    <w:rsid w:val="3DEE7CF3"/>
    <w:rsid w:val="3DF02244"/>
    <w:rsid w:val="3E78745D"/>
    <w:rsid w:val="3FF4CAE0"/>
    <w:rsid w:val="3FF7B227"/>
    <w:rsid w:val="40E54C45"/>
    <w:rsid w:val="43A407DF"/>
    <w:rsid w:val="43C80413"/>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0F65643"/>
    <w:rsid w:val="53083A92"/>
    <w:rsid w:val="537E6D0A"/>
    <w:rsid w:val="53AF27A2"/>
    <w:rsid w:val="53F74C96"/>
    <w:rsid w:val="56E47B74"/>
    <w:rsid w:val="57BD3DD4"/>
    <w:rsid w:val="599012CA"/>
    <w:rsid w:val="5AF92295"/>
    <w:rsid w:val="5BDD79E6"/>
    <w:rsid w:val="5BF561CA"/>
    <w:rsid w:val="5BFF5DFC"/>
    <w:rsid w:val="5CD71FC4"/>
    <w:rsid w:val="5D186A5C"/>
    <w:rsid w:val="5D1F11B5"/>
    <w:rsid w:val="5DAE1B18"/>
    <w:rsid w:val="5DE7D9E5"/>
    <w:rsid w:val="5ECEC941"/>
    <w:rsid w:val="5F493CB7"/>
    <w:rsid w:val="5FBF9FF3"/>
    <w:rsid w:val="5FCD4E2C"/>
    <w:rsid w:val="5FD15F49"/>
    <w:rsid w:val="5FEF394A"/>
    <w:rsid w:val="5FF67715"/>
    <w:rsid w:val="62BF3928"/>
    <w:rsid w:val="647F5392"/>
    <w:rsid w:val="664B1D71"/>
    <w:rsid w:val="674F378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Layout w:type="fixed"/>
      <w:tblCellMar>
        <w:top w:w="0" w:type="dxa"/>
        <w:left w:w="108" w:type="dxa"/>
        <w:bottom w:w="0" w:type="dxa"/>
        <w:right w:w="108" w:type="dxa"/>
      </w:tblCellMar>
    </w:tblPr>
  </w:style>
  <w:style w:type="paragraph" w:styleId="5">
    <w:name w:val="Body Text"/>
    <w:basedOn w:val="1"/>
    <w:link w:val="27"/>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Plain Text"/>
    <w:basedOn w:val="1"/>
    <w:unhideWhenUsed/>
    <w:qFormat/>
    <w:uiPriority w:val="99"/>
    <w:rPr>
      <w:rFonts w:ascii="宋体" w:hAnsi="宋体" w:cs="Courier New"/>
    </w:r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7"/>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unhideWhenUsed/>
    <w:qFormat/>
    <w:uiPriority w:val="99"/>
    <w:pPr>
      <w:jc w:val="left"/>
    </w:pPr>
    <w:rPr>
      <w:sz w:val="24"/>
      <w:szCs w:val="24"/>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5"/>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2"/>
    <w:qFormat/>
    <w:uiPriority w:val="9"/>
    <w:rPr>
      <w:rFonts w:ascii="Times New Roman" w:hAnsi="Times New Roman"/>
      <w:b/>
      <w:bCs/>
      <w:kern w:val="44"/>
      <w:sz w:val="44"/>
      <w:szCs w:val="44"/>
    </w:rPr>
  </w:style>
  <w:style w:type="character" w:customStyle="1" w:styleId="31">
    <w:name w:val="标题 2 Char"/>
    <w:basedOn w:val="18"/>
    <w:link w:val="3"/>
    <w:qFormat/>
    <w:uiPriority w:val="9"/>
    <w:rPr>
      <w:rFonts w:asciiTheme="majorHAnsi" w:hAnsiTheme="majorHAnsi" w:eastAsiaTheme="majorEastAsia" w:cstheme="majorBidi"/>
      <w:b/>
      <w:bCs/>
      <w:kern w:val="2"/>
      <w:sz w:val="32"/>
      <w:szCs w:val="32"/>
    </w:rPr>
  </w:style>
  <w:style w:type="paragraph" w:customStyle="1" w:styleId="32">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0"/>
    <w:semiHidden/>
    <w:qFormat/>
    <w:uiPriority w:val="99"/>
    <w:rPr>
      <w:rFonts w:ascii="Times New Roman" w:hAnsi="Times New Roman"/>
      <w:kern w:val="2"/>
      <w:sz w:val="18"/>
      <w:szCs w:val="18"/>
    </w:rPr>
  </w:style>
  <w:style w:type="character" w:customStyle="1" w:styleId="34">
    <w:name w:val="标题 3 Char"/>
    <w:basedOn w:val="18"/>
    <w:link w:val="4"/>
    <w:qFormat/>
    <w:uiPriority w:val="9"/>
    <w:rPr>
      <w:rFonts w:ascii="Times New Roman" w:hAnsi="Times New Roman"/>
      <w:b/>
      <w:bCs/>
      <w:kern w:val="2"/>
      <w:sz w:val="32"/>
      <w:szCs w:val="32"/>
    </w:rPr>
  </w:style>
  <w:style w:type="paragraph" w:customStyle="1" w:styleId="35">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7">
    <w:name w:val="列出段落1"/>
    <w:basedOn w:val="1"/>
    <w:qFormat/>
    <w:uiPriority w:val="0"/>
    <w:pPr>
      <w:ind w:firstLine="420"/>
    </w:pPr>
  </w:style>
  <w:style w:type="paragraph" w:customStyle="1" w:styleId="38">
    <w:name w:val="Table Text"/>
    <w:basedOn w:val="1"/>
    <w:semiHidden/>
    <w:qFormat/>
    <w:uiPriority w:val="0"/>
    <w:rPr>
      <w:rFonts w:ascii="宋体" w:hAnsi="宋体" w:cs="宋体"/>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24037;&#20316;&#31807;1"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24037;&#20316;&#31807;1"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24037;&#20316;&#31807;1" TargetMode="External"/></Relationships>
</file>

<file path=word/charts/_rels/chart5.xml.rels><?xml version="1.0" encoding="UTF-8" standalone="yes"?>
<Relationships xmlns="http://schemas.openxmlformats.org/package/2006/relationships"><Relationship Id="rId4" Type="http://schemas.microsoft.com/office/2011/relationships/chartColorStyle" Target="colors5.xml"/><Relationship Id="rId3" Type="http://schemas.microsoft.com/office/2011/relationships/chartStyle" Target="style5.xml"/><Relationship Id="rId2" Type="http://schemas.openxmlformats.org/officeDocument/2006/relationships/themeOverride" Target="../theme/themeOverride2.xml"/><Relationship Id="rId1" Type="http://schemas.openxmlformats.org/officeDocument/2006/relationships/oleObject" Target="&#24037;&#20316;&#31807;1"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收入、支出决算总计变动情况图</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[工作簿1]Sheet1!$A$1:$A$4</c:f>
              <c:strCache>
                <c:ptCount val="4"/>
                <c:pt idx="0">
                  <c:v>2025年度总收入</c:v>
                </c:pt>
                <c:pt idx="1">
                  <c:v>2024年度总收入</c:v>
                </c:pt>
                <c:pt idx="2">
                  <c:v>2025年度总支出</c:v>
                </c:pt>
                <c:pt idx="3">
                  <c:v>2024年度总支出</c:v>
                </c:pt>
              </c:strCache>
            </c:strRef>
          </c:cat>
          <c:val>
            <c:numRef>
              <c:f>[工作簿1]Sheet1!$B$1:$B$4</c:f>
              <c:numCache>
                <c:formatCode>General</c:formatCode>
                <c:ptCount val="4"/>
                <c:pt idx="0">
                  <c:v>140.72</c:v>
                </c:pt>
                <c:pt idx="1">
                  <c:v>134.05</c:v>
                </c:pt>
                <c:pt idx="2">
                  <c:v>140.72</c:v>
                </c:pt>
                <c:pt idx="3">
                  <c:v>134.05</c:v>
                </c:pt>
              </c:numCache>
            </c:numRef>
          </c:val>
        </c:ser>
        <c:dLbls>
          <c:showLegendKey val="0"/>
          <c:showVal val="1"/>
          <c:showCatName val="0"/>
          <c:showSerName val="0"/>
          <c:showPercent val="0"/>
          <c:showBubbleSize val="0"/>
        </c:dLbls>
        <c:gapWidth val="216"/>
        <c:overlap val="-32"/>
        <c:axId val="711904166"/>
        <c:axId val="20024019"/>
      </c:barChart>
      <c:catAx>
        <c:axId val="71190416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20024019"/>
        <c:crosses val="autoZero"/>
        <c:auto val="1"/>
        <c:lblAlgn val="ctr"/>
        <c:lblOffset val="100"/>
        <c:noMultiLvlLbl val="0"/>
      </c:catAx>
      <c:valAx>
        <c:axId val="20024019"/>
        <c:scaling>
          <c:orientation val="minMax"/>
        </c:scaling>
        <c:delete val="0"/>
        <c:axPos val="l"/>
        <c:majorGridlines>
          <c:spPr>
            <a:ln w="9525" cap="flat" cmpd="sng" algn="ctr">
              <a:solidFill>
                <a:schemeClr val="tx1">
                  <a:lumMod val="50000"/>
                  <a:lumOff val="50000"/>
                  <a:alpha val="35000"/>
                </a:schemeClr>
              </a:solidFill>
              <a:round/>
            </a:ln>
            <a:effectLst/>
          </c:spPr>
        </c:majorGridlines>
        <c:title>
          <c:layout/>
          <c:overlay val="0"/>
          <c:spPr>
            <a:noFill/>
            <a:ln>
              <a:noFill/>
            </a:ln>
            <a:effectLst/>
          </c:spPr>
          <c:txPr>
            <a:bodyPr rot="-5400000" spcFirstLastPara="0" vertOverflow="ellipsis" vert="horz" wrap="square" anchor="ctr" anchorCtr="1" forceAA="0"/>
            <a:lstStyle/>
            <a:p>
              <a:pPr>
                <a:defRPr lang="zh-CN" sz="10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title>
        <c:numFmt formatCode="General" sourceLinked="1"/>
        <c:majorTickMark val="out"/>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711904166"/>
        <c:crosses val="autoZero"/>
        <c:crossBetween val="between"/>
      </c:valAx>
      <c:dTable>
        <c:showHorzBorder val="1"/>
        <c:showVertBorder val="1"/>
        <c:showOutline val="1"/>
        <c:showKeys val="1"/>
        <c:spPr>
          <a:noFill/>
          <a:ln w="9525" cap="flat" cmpd="sng" algn="ctr">
            <a:solidFill>
              <a:schemeClr val="tx1">
                <a:lumMod val="50000"/>
                <a:lumOff val="50000"/>
                <a:alpha val="25000"/>
              </a:schemeClr>
            </a:solidFill>
            <a:round/>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Table>
      <c:spPr>
        <a:noFill/>
        <a:ln>
          <a:noFill/>
        </a:ln>
        <a:effectLst/>
      </c:spPr>
    </c:plotArea>
    <c:plotVisOnly val="1"/>
    <c:dispBlanksAs val="gap"/>
    <c:showDLblsOverMax val="0"/>
  </c:chart>
  <c:spPr>
    <a:solidFill>
      <a:schemeClr val="bg1"/>
    </a:solidFill>
    <a:ln w="9525" cap="flat" cmpd="sng" algn="ctr">
      <a:solidFill>
        <a:schemeClr val="tx1">
          <a:lumMod val="50000"/>
          <a:lumOff val="50000"/>
          <a:alpha val="25000"/>
        </a:schemeClr>
      </a:solidFill>
      <a:round/>
    </a:ln>
    <a:effectLst/>
  </c:spPr>
  <c:txPr>
    <a:bodyPr/>
    <a:lstStyle/>
    <a:p>
      <a:pPr>
        <a:defRPr lang="zh-CN" b="0">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r>
              <a:t>收入决算结构图</a:t>
            </a: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[工作簿1]Sheet1!$A$11</c:f>
              <c:strCache>
                <c:ptCount val="1"/>
                <c:pt idx="0">
                  <c:v>一般公共预算财政拨款收入</c:v>
                </c:pt>
              </c:strCache>
            </c:strRef>
          </c:tx>
          <c:spPr>
            <a:scene3d>
              <a:camera prst="orthographicFront"/>
              <a:lightRig rig="threePt" dir="t"/>
            </a:scene3d>
            <a:sp3d contourW="9525"/>
          </c:spPr>
          <c:explosion val="0"/>
          <c:dPt>
            <c:idx val="0"/>
            <c:bubble3D val="0"/>
            <c:spPr>
              <a:solidFill>
                <a:schemeClr val="accent1"/>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140.72, 100%</a:t>
                    </a:r>
                  </a:p>
                </c:rich>
              </c:tx>
              <c:dLblPos val="outEnd"/>
              <c:showLegendKey val="0"/>
              <c:showVal val="1"/>
              <c:showCatName val="1"/>
              <c:showSerName val="0"/>
              <c:showPercent val="1"/>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[工作簿1]Sheet1!$B$11</c:f>
              <c:numCache>
                <c:formatCode>General</c:formatCode>
                <c:ptCount val="1"/>
                <c:pt idx="0">
                  <c:v>140.72</c:v>
                </c:pt>
              </c:numCache>
            </c:numRef>
          </c:val>
        </c:ser>
        <c:dLbls>
          <c:showLegendKey val="0"/>
          <c:showVal val="1"/>
          <c:showCatName val="0"/>
          <c:showSerName val="0"/>
          <c:showPercent val="0"/>
          <c:showBubbleSize val="0"/>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chemeClr val="dk1">
                    <a:lumMod val="75000"/>
                    <a:lumOff val="25000"/>
                  </a:schemeClr>
                </a:solidFill>
                <a:latin typeface="+mn-lt"/>
                <a:ea typeface="+mn-ea"/>
                <a:cs typeface="+mn-cs"/>
              </a:defRPr>
            </a:pPr>
            <a:r>
              <a:t>支出决算结构图</a:t>
            </a: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spPr>
            <a:scene3d>
              <a:camera prst="orthographicFront"/>
              <a:lightRig rig="threePt" dir="t"/>
            </a:scene3d>
            <a:sp3d contourW="9525"/>
          </c:spPr>
          <c:explosion val="0"/>
          <c:dPt>
            <c:idx val="0"/>
            <c:bubble3D val="0"/>
            <c:spPr>
              <a:gradFill>
                <a:gsLst>
                  <a:gs pos="100000">
                    <a:schemeClr val="accent1"/>
                  </a:gs>
                  <a:gs pos="0">
                    <a:schemeClr val="accent1">
                      <a:hueOff val="-1670000"/>
                    </a:schemeClr>
                  </a:gs>
                </a:gsLst>
                <a:lin ang="5400000" scaled="0"/>
              </a:gradFill>
              <a:ln>
                <a:gradFill>
                  <a:gsLst>
                    <a:gs pos="100000">
                      <a:schemeClr val="accent1">
                        <a:lumMod val="75000"/>
                      </a:schemeClr>
                    </a:gs>
                    <a:gs pos="0">
                      <a:schemeClr val="accent1">
                        <a:lumMod val="75000"/>
                        <a:hueOff val="-1670000"/>
                      </a:schemeClr>
                    </a:gs>
                  </a:gsLst>
                  <a:lin ang="4620000" scaled="0"/>
                </a:gradFill>
              </a:ln>
              <a:effectLst/>
            </c:spPr>
          </c:dPt>
          <c:dPt>
            <c:idx val="1"/>
            <c:bubble3D val="0"/>
            <c:spPr>
              <a:gradFill>
                <a:gsLst>
                  <a:gs pos="100000">
                    <a:schemeClr val="accent2"/>
                  </a:gs>
                  <a:gs pos="0">
                    <a:schemeClr val="accent2">
                      <a:hueOff val="-1670000"/>
                    </a:schemeClr>
                  </a:gs>
                </a:gsLst>
                <a:lin ang="5400000" scaled="0"/>
              </a:gradFill>
              <a:ln>
                <a:gradFill>
                  <a:gsLst>
                    <a:gs pos="100000">
                      <a:schemeClr val="accent2">
                        <a:lumMod val="75000"/>
                      </a:schemeClr>
                    </a:gs>
                    <a:gs pos="0">
                      <a:schemeClr val="accent2">
                        <a:lumMod val="75000"/>
                        <a:hueOff val="-1670000"/>
                      </a:schemeClr>
                    </a:gs>
                  </a:gsLst>
                  <a:lin ang="4620000" scaled="0"/>
                </a:gra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out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[工作簿1]Sheet1!$A$16:$A$17</c:f>
              <c:strCache>
                <c:ptCount val="2"/>
                <c:pt idx="0">
                  <c:v>基本支出</c:v>
                </c:pt>
                <c:pt idx="1">
                  <c:v>项目支出</c:v>
                </c:pt>
              </c:strCache>
            </c:strRef>
          </c:cat>
          <c:val>
            <c:numRef>
              <c:f>[工作簿1]Sheet1!$B$16:$B$17</c:f>
              <c:numCache>
                <c:formatCode>General</c:formatCode>
                <c:ptCount val="2"/>
                <c:pt idx="0">
                  <c:v>105.5</c:v>
                </c:pt>
                <c:pt idx="1">
                  <c:v>35.22</c:v>
                </c:pt>
              </c:numCache>
            </c:numRef>
          </c:val>
        </c:ser>
        <c:dLbls>
          <c:showLegendKey val="0"/>
          <c:showVal val="1"/>
          <c:showCatName val="0"/>
          <c:showSerName val="0"/>
          <c:showPercent val="0"/>
          <c:showBubbleSize val="0"/>
        </c:dLbls>
      </c:pie3D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chart>
  <c:spPr>
    <a:solidFill>
      <a:schemeClr val="lt1">
        <a:lumMod val="96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[工作簿1]Sheet1!$A$1:$A$4</c:f>
              <c:strCache>
                <c:ptCount val="4"/>
                <c:pt idx="0">
                  <c:v>2025年度财政拨款总收入</c:v>
                </c:pt>
                <c:pt idx="1">
                  <c:v>2024年度财政拨款总收入</c:v>
                </c:pt>
                <c:pt idx="2">
                  <c:v>2025年度财政拨款总支出</c:v>
                </c:pt>
                <c:pt idx="3">
                  <c:v>2024年度财政拨款总支出</c:v>
                </c:pt>
              </c:strCache>
            </c:strRef>
          </c:cat>
          <c:val>
            <c:numRef>
              <c:f>[工作簿1]Sheet1!$B$1:$B$4</c:f>
              <c:numCache>
                <c:formatCode>General</c:formatCode>
                <c:ptCount val="4"/>
                <c:pt idx="0">
                  <c:v>140.72</c:v>
                </c:pt>
                <c:pt idx="1">
                  <c:v>134.05</c:v>
                </c:pt>
                <c:pt idx="2">
                  <c:v>140.72</c:v>
                </c:pt>
                <c:pt idx="3">
                  <c:v>134.05</c:v>
                </c:pt>
              </c:numCache>
            </c:numRef>
          </c:val>
        </c:ser>
        <c:dLbls>
          <c:showLegendKey val="0"/>
          <c:showVal val="1"/>
          <c:showCatName val="0"/>
          <c:showSerName val="0"/>
          <c:showPercent val="0"/>
          <c:showBubbleSize val="0"/>
        </c:dLbls>
        <c:gapWidth val="216"/>
        <c:overlap val="-32"/>
        <c:axId val="780365433"/>
        <c:axId val="128958233"/>
      </c:barChart>
      <c:catAx>
        <c:axId val="780365433"/>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8958233"/>
        <c:crosses val="autoZero"/>
        <c:auto val="1"/>
        <c:lblAlgn val="ctr"/>
        <c:lblOffset val="100"/>
        <c:noMultiLvlLbl val="0"/>
      </c:catAx>
      <c:valAx>
        <c:axId val="128958233"/>
        <c:scaling>
          <c:orientation val="minMax"/>
        </c:scaling>
        <c:delete val="0"/>
        <c:axPos val="l"/>
        <c:majorGridlines>
          <c:spPr>
            <a:ln w="9525" cap="flat" cmpd="sng" algn="ctr">
              <a:solidFill>
                <a:schemeClr val="lt1">
                  <a:lumMod val="90200"/>
                </a:schemeClr>
              </a:solidFill>
              <a:round/>
            </a:ln>
            <a:effectLst/>
          </c:spPr>
        </c:majorGridlines>
        <c:title>
          <c:layout/>
          <c:overlay val="0"/>
          <c:spPr>
            <a:noFill/>
            <a:ln>
              <a:noFill/>
            </a:ln>
            <a:effectLst/>
          </c:spPr>
          <c:txPr>
            <a:bodyPr rot="-540000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title>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0365433"/>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一般公共预算财政拨款支出决算变动情况</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[工作簿1]Sheet1!$A$11:$A$12</c:f>
              <c:strCache>
                <c:ptCount val="2"/>
                <c:pt idx="0">
                  <c:v>2025年一般公共预算财政拨款收入</c:v>
                </c:pt>
                <c:pt idx="1">
                  <c:v>2024年一般公共预算财政拨款收入</c:v>
                </c:pt>
              </c:strCache>
            </c:strRef>
          </c:cat>
          <c:val>
            <c:numRef>
              <c:f>[工作簿1]Sheet1!$B$11:$B$12</c:f>
              <c:numCache>
                <c:formatCode>General</c:formatCode>
                <c:ptCount val="2"/>
                <c:pt idx="0">
                  <c:v>140.72</c:v>
                </c:pt>
                <c:pt idx="1">
                  <c:v>134.05</c:v>
                </c:pt>
              </c:numCache>
            </c:numRef>
          </c:val>
        </c:ser>
        <c:dLbls>
          <c:showLegendKey val="0"/>
          <c:showVal val="1"/>
          <c:showCatName val="0"/>
          <c:showSerName val="0"/>
          <c:showPercent val="0"/>
          <c:showBubbleSize val="0"/>
        </c:dLbls>
        <c:gapWidth val="260"/>
        <c:overlap val="-32"/>
        <c:axId val="469546397"/>
        <c:axId val="232993320"/>
      </c:barChart>
      <c:catAx>
        <c:axId val="469546397"/>
        <c:scaling>
          <c:orientation val="minMax"/>
        </c:scaling>
        <c:delete val="0"/>
        <c:axPos val="b"/>
        <c:numFmt formatCode="General" sourceLinked="1"/>
        <c:majorTickMark val="out"/>
        <c:minorTickMark val="none"/>
        <c:tickLblPos val="nextTo"/>
        <c:spPr>
          <a:noFill/>
          <a:ln w="6350" cap="flat" cmpd="sng" algn="ctr">
            <a:solidFill>
              <a:schemeClr val="accent1">
                <a:alpha val="2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232993320"/>
        <c:crosses val="autoZero"/>
        <c:auto val="1"/>
        <c:lblAlgn val="ctr"/>
        <c:lblOffset val="100"/>
        <c:noMultiLvlLbl val="0"/>
      </c:catAx>
      <c:valAx>
        <c:axId val="232993320"/>
        <c:scaling>
          <c:orientation val="minMax"/>
        </c:scaling>
        <c:delete val="1"/>
        <c:axPos val="l"/>
        <c:majorGridlines>
          <c:spPr>
            <a:ln w="6350" cap="flat" cmpd="sng" algn="ctr">
              <a:solidFill>
                <a:schemeClr val="tx1">
                  <a:lumMod val="50000"/>
                  <a:lumOff val="50000"/>
                  <a:alpha val="25000"/>
                </a:schemeClr>
              </a:solidFill>
              <a:round/>
            </a:ln>
            <a:effectLst/>
          </c:spPr>
        </c:majorGridlines>
        <c:numFmt formatCode="General" sourceLinked="1"/>
        <c:majorTickMark val="out"/>
        <c:minorTickMark val="none"/>
        <c:tickLblPos val="nextTo"/>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469546397"/>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chart>
  <c:spPr>
    <a:solidFill>
      <a:schemeClr val="bg1"/>
    </a:solidFill>
    <a:ln w="6350" cap="flat" cmpd="sng" algn="ctr">
      <a:solidFill>
        <a:schemeClr val="tx1">
          <a:lumMod val="50000"/>
          <a:lumOff val="50000"/>
          <a:alpha val="25000"/>
        </a:schemeClr>
      </a:solidFill>
      <a:round/>
    </a:ln>
    <a:effectLst/>
  </c:spPr>
  <c:txPr>
    <a:bodyPr/>
    <a:lstStyle/>
    <a:p>
      <a:pPr>
        <a:defRPr lang="zh-CN" sz="90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chemeClr val="dk1">
                    <a:lumMod val="75000"/>
                    <a:lumOff val="25000"/>
                  </a:schemeClr>
                </a:solidFill>
                <a:latin typeface="+mn-lt"/>
                <a:ea typeface="+mn-ea"/>
                <a:cs typeface="+mn-cs"/>
              </a:defRPr>
            </a:pPr>
            <a:r>
              <a:t>一般公共预算财政拨款支出决算结构</a:t>
            </a: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spPr>
            <a:scene3d>
              <a:camera prst="orthographicFront"/>
              <a:lightRig rig="threePt" dir="t"/>
            </a:scene3d>
            <a:sp3d contourW="9525"/>
          </c:spPr>
          <c:explosion val="0"/>
          <c:dPt>
            <c:idx val="0"/>
            <c:bubble3D val="0"/>
            <c:spPr>
              <a:gradFill>
                <a:gsLst>
                  <a:gs pos="0">
                    <a:schemeClr val="accent1">
                      <a:hueOff val="-1670000"/>
                    </a:schemeClr>
                  </a:gs>
                  <a:gs pos="100000">
                    <a:schemeClr val="accent1"/>
                  </a:gs>
                </a:gsLst>
                <a:lin ang="5400000" scaled="0"/>
              </a:gradFill>
              <a:ln>
                <a:gradFill>
                  <a:gsLst>
                    <a:gs pos="0">
                      <a:schemeClr val="accent1">
                        <a:lumMod val="75000"/>
                        <a:hueOff val="-1670000"/>
                      </a:schemeClr>
                    </a:gs>
                    <a:gs pos="100000">
                      <a:schemeClr val="accent1">
                        <a:lumMod val="75000"/>
                      </a:schemeClr>
                    </a:gs>
                  </a:gsLst>
                  <a:lin ang="5400000" scaled="1"/>
                </a:gradFill>
              </a:ln>
              <a:effectLst/>
            </c:spPr>
          </c:dPt>
          <c:dPt>
            <c:idx val="1"/>
            <c:bubble3D val="0"/>
            <c:spPr>
              <a:gradFill>
                <a:gsLst>
                  <a:gs pos="0">
                    <a:schemeClr val="accent2">
                      <a:hueOff val="-1670000"/>
                    </a:schemeClr>
                  </a:gs>
                  <a:gs pos="100000">
                    <a:schemeClr val="accent2"/>
                  </a:gs>
                </a:gsLst>
                <a:lin ang="5400000" scaled="0"/>
              </a:gradFill>
              <a:ln>
                <a:gradFill>
                  <a:gsLst>
                    <a:gs pos="0">
                      <a:schemeClr val="accent2">
                        <a:lumMod val="75000"/>
                        <a:hueOff val="-1670000"/>
                      </a:schemeClr>
                    </a:gs>
                    <a:gs pos="100000">
                      <a:schemeClr val="accent2">
                        <a:lumMod val="75000"/>
                      </a:schemeClr>
                    </a:gs>
                  </a:gsLst>
                  <a:lin ang="5400000" scaled="1"/>
                </a:gradFill>
              </a:ln>
              <a:effectLst/>
            </c:spPr>
          </c:dPt>
          <c:dPt>
            <c:idx val="2"/>
            <c:bubble3D val="0"/>
            <c:spPr>
              <a:gradFill>
                <a:gsLst>
                  <a:gs pos="0">
                    <a:schemeClr val="accent3">
                      <a:hueOff val="-1670000"/>
                    </a:schemeClr>
                  </a:gs>
                  <a:gs pos="100000">
                    <a:schemeClr val="accent3"/>
                  </a:gs>
                </a:gsLst>
                <a:lin ang="5400000" scaled="0"/>
              </a:gradFill>
              <a:ln>
                <a:gradFill>
                  <a:gsLst>
                    <a:gs pos="0">
                      <a:schemeClr val="accent3">
                        <a:lumMod val="75000"/>
                        <a:hueOff val="-1670000"/>
                      </a:schemeClr>
                    </a:gs>
                    <a:gs pos="100000">
                      <a:schemeClr val="accent3">
                        <a:lumMod val="75000"/>
                      </a:schemeClr>
                    </a:gs>
                  </a:gsLst>
                  <a:lin ang="5400000" scaled="1"/>
                </a:gradFill>
              </a:ln>
              <a:effectLst/>
            </c:spPr>
          </c:dPt>
          <c:dPt>
            <c:idx val="3"/>
            <c:bubble3D val="0"/>
            <c:spPr>
              <a:gradFill>
                <a:gsLst>
                  <a:gs pos="0">
                    <a:schemeClr val="accent4">
                      <a:hueOff val="-1670000"/>
                    </a:schemeClr>
                  </a:gs>
                  <a:gs pos="100000">
                    <a:schemeClr val="accent4"/>
                  </a:gs>
                </a:gsLst>
                <a:lin ang="5400000" scaled="0"/>
              </a:gradFill>
              <a:ln>
                <a:gradFill>
                  <a:gsLst>
                    <a:gs pos="0">
                      <a:schemeClr val="accent4">
                        <a:lumMod val="75000"/>
                        <a:hueOff val="-1670000"/>
                      </a:schemeClr>
                    </a:gs>
                    <a:gs pos="100000">
                      <a:schemeClr val="accent4">
                        <a:lumMod val="75000"/>
                      </a:schemeClr>
                    </a:gs>
                  </a:gsLst>
                  <a:lin ang="5400000" scaled="1"/>
                </a:gradFill>
              </a:ln>
              <a:effectLst/>
            </c:spPr>
          </c:dPt>
          <c:dLbls>
            <c:dLbl>
              <c:idx val="0"/>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1"/>
              <c:showBubbleSize val="0"/>
              <c:separator>
</c:separator>
              <c:extLst>
                <c:ext xmlns:c15="http://schemas.microsoft.com/office/drawing/2012/chart" uri="{CE6537A1-D6FC-4f65-9D91-7224C49458BB}"/>
              </c:extLst>
            </c:dLbl>
            <c:dLbl>
              <c:idx val="1"/>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1"/>
              <c:showBubbleSize val="0"/>
              <c:separator>
</c:separator>
              <c:extLst>
                <c:ext xmlns:c15="http://schemas.microsoft.com/office/drawing/2012/chart" uri="{CE6537A1-D6FC-4f65-9D91-7224C49458BB}"/>
              </c:extLst>
            </c:dLbl>
            <c:dLbl>
              <c:idx val="2"/>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1"/>
              <c:showSerName val="0"/>
              <c:showPercent val="1"/>
              <c:showBubbleSize val="0"/>
              <c:separator>
</c:separator>
              <c:extLst>
                <c:ext xmlns:c15="http://schemas.microsoft.com/office/drawing/2012/chart" uri="{CE6537A1-D6FC-4f65-9D91-7224C49458BB}"/>
              </c:extLst>
            </c:dLbl>
            <c:dLbl>
              <c:idx val="3"/>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p>
              </c:txPr>
              <c:dLblPos val="outEnd"/>
              <c:showLegendKey val="0"/>
              <c:showVal val="1"/>
              <c:showCatName val="1"/>
              <c:showSerName val="0"/>
              <c:showPercent val="1"/>
              <c:showBubbleSize val="0"/>
              <c:separator>
</c:separator>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[工作簿1]Sheet1!$A$23:$A$26</c:f>
              <c:strCache>
                <c:ptCount val="4"/>
                <c:pt idx="0">
                  <c:v>一般公共服务支出</c:v>
                </c:pt>
                <c:pt idx="1">
                  <c:v>社会保障和就业支出</c:v>
                </c:pt>
                <c:pt idx="2">
                  <c:v>卫生健康支出</c:v>
                </c:pt>
                <c:pt idx="3">
                  <c:v>住房保障支出</c:v>
                </c:pt>
              </c:strCache>
            </c:strRef>
          </c:cat>
          <c:val>
            <c:numRef>
              <c:f>[工作簿1]Sheet1!$B$23:$B$26</c:f>
              <c:numCache>
                <c:formatCode>General</c:formatCode>
                <c:ptCount val="4"/>
                <c:pt idx="0">
                  <c:v>118.62</c:v>
                </c:pt>
                <c:pt idx="1">
                  <c:v>9.54</c:v>
                </c:pt>
                <c:pt idx="2">
                  <c:v>4.66</c:v>
                </c:pt>
                <c:pt idx="3">
                  <c:v>7.9</c:v>
                </c:pt>
              </c:numCache>
            </c:numRef>
          </c:val>
        </c:ser>
        <c:dLbls>
          <c:showLegendKey val="0"/>
          <c:showVal val="1"/>
          <c:showCatName val="0"/>
          <c:showSerName val="0"/>
          <c:showPercent val="0"/>
          <c:showBubbleSize val="0"/>
        </c:dLbls>
      </c:pie3DChart>
      <c:spPr>
        <a:noFill/>
        <a:ln>
          <a:noFill/>
        </a:ln>
        <a:effectLst/>
      </c:spPr>
    </c:plotArea>
    <c:plotVisOnly val="1"/>
    <c:dispBlanksAs val="gap"/>
    <c:showDLblsOverMax val="0"/>
  </c:chart>
  <c:spPr>
    <a:solidFill>
      <a:schemeClr val="lt1">
        <a:lumMod val="96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style1.xml><?xml version="1.0" encoding="utf-8"?>
<cs:chartStyle xmlns:cs="http://schemas.microsoft.com/office/drawing/2012/chartStyle" xmlns:a="http://schemas.openxmlformats.org/drawingml/2006/main" id="1000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97">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a:schemeClr val="dk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0">
      <cs:styleClr val="auto"/>
    </cs:fillRef>
    <cs:effectRef idx="0"/>
    <cs:fontRef idx="minor">
      <a:schemeClr val="dk1"/>
    </cs:fontRef>
    <cs:spPr>
      <a:gradFill>
        <a:gsLst>
          <a:gs pos="100000">
            <a:schemeClr val="phClr"/>
          </a:gs>
          <a:gs pos="0">
            <a:schemeClr val="phClr">
              <a:hueOff val="-1670000"/>
            </a:schemeClr>
          </a:gs>
        </a:gsLst>
        <a:lin ang="5400000" scaled="0"/>
      </a:gradFill>
      <a:ln>
        <a:gradFill>
          <a:gsLst>
            <a:gs pos="100000">
              <a:schemeClr val="phClr">
                <a:lumMod val="75000"/>
              </a:schemeClr>
            </a:gs>
            <a:gs pos="0">
              <a:schemeClr val="phClr">
                <a:lumMod val="75000"/>
                <a:hueOff val="-1670000"/>
              </a:schemeClr>
            </a:gs>
          </a:gsLst>
          <a:lin ang="4620000" scaled="0"/>
        </a:gra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99">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0">
      <cs:styleClr val="auto"/>
    </cs:fillRef>
    <cs:effectRef idx="0"/>
    <cs:fontRef idx="minor">
      <a:schemeClr val="dk1"/>
    </cs:fontRef>
    <cs:spPr>
      <a:gradFill>
        <a:gsLst>
          <a:gs pos="0">
            <a:schemeClr val="phClr">
              <a:hueOff val="-1670000"/>
            </a:schemeClr>
          </a:gs>
          <a:gs pos="100000">
            <a:schemeClr val="phClr"/>
          </a:gs>
        </a:gsLst>
        <a:lin ang="5400000" scaled="0"/>
      </a:gradFill>
      <a:ln>
        <a:gradFill>
          <a:gsLst>
            <a:gs pos="0">
              <a:schemeClr val="phClr">
                <a:lumMod val="75000"/>
                <a:hueOff val="-1670000"/>
              </a:schemeClr>
            </a:gs>
            <a:gs pos="100000">
              <a:schemeClr val="phClr">
                <a:lumMod val="75000"/>
              </a:schemeClr>
            </a:gs>
          </a:gsLst>
          <a:lin ang="5400000" scaled="1"/>
        </a:gra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29</Pages>
  <Words>12218</Words>
  <Characters>12845</Characters>
  <Lines>61</Lines>
  <Paragraphs>17</Paragraphs>
  <TotalTime>8</TotalTime>
  <ScaleCrop>false</ScaleCrop>
  <LinksUpToDate>false</LinksUpToDate>
  <CharactersWithSpaces>12874</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lenovo</cp:lastModifiedBy>
  <cp:lastPrinted>2026-08-03T09:27:00Z</cp:lastPrinted>
  <dcterms:modified xsi:type="dcterms:W3CDTF">2026-09-16T08:55:55Z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3BF536824C220DA3E40E8B68BA118B1C_42</vt:lpwstr>
  </property>
  <property fmtid="{D5CDD505-2E9C-101B-9397-08002B2CF9AE}" pid="4" name="KSOTemplateDocerSaveRecord">
    <vt:lpwstr>eyJoZGlkIjoiMWViNjRkODhlMTg4NDk1NzQxYjQ1MDNlZjU1MTg4NWEiLCJ1c2VySWQiOiIyMzU1NTYyMzUifQ==</vt:lpwstr>
  </property>
</Properties>
</file>